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
    <w:p/>
    <w:p>
      <w:pPr>
        <w:spacing w:after="240"/>
        <w:jc w:val="center"/>
      </w:pPr>
      <w:r>
        <w:rPr>
          <w:b/>
          <w:bCs/>
          <w:color w:val="1F2937"/>
          <w:sz w:val="40"/>
          <w:szCs w:val="40"/>
        </w:rPr>
        <w:t xml:space="preserve">PROGRAMA PARA EL USO EFICIENTE Y AHORRO DEL AGUA — PUEAA</w:t>
      </w:r>
    </w:p>
    <w:p>
      <w:pPr>
        <w:spacing w:after="1200"/>
        <w:jc w:val="center"/>
      </w:pPr>
      <w:r>
        <w:rPr>
          <w:color w:val="4A9D8E"/>
          <w:sz w:val="26"/>
          <w:szCs w:val="26"/>
        </w:rPr>
        <w:t xml:space="preserve">Soporte técnico de solicitud de concesión de aguas</w:t>
      </w:r>
    </w:p>
    <w:p>
      <w:pPr>
        <w:spacing w:after="200"/>
        <w:jc w:val="center"/>
      </w:pPr>
      <w:r>
        <w:rPr>
          <w:b/>
          <w:bCs/>
          <w:color w:val="4A9D8E"/>
          <w:sz w:val="48"/>
          <w:szCs w:val="48"/>
        </w:rPr>
        <w:t xml:space="preserve">AVSA SA</w:t>
      </w:r>
    </w:p>
    <w:p>
      <w:pPr>
        <w:spacing w:after="100"/>
        <w:jc w:val="center"/>
      </w:pPr>
      <w:r>
        <w:rPr>
          <w:color w:val="777777"/>
          <w:sz w:val="22"/>
          <w:szCs w:val="22"/>
        </w:rPr>
        <w:t xml:space="preserve">NIT 8902018814</w:t>
      </w:r>
    </w:p>
    <w:p>
      <w:pPr>
        <w:spacing w:after="1200"/>
        <w:jc w:val="center"/>
      </w:pPr>
      <w:r>
        <w:rPr>
          <w:b/>
          <w:bCs/>
          <w:color w:val="1F2937"/>
          <w:sz w:val="44"/>
          <w:szCs w:val="44"/>
        </w:rPr>
        <w:t xml:space="preserve">2026</w:t>
      </w:r>
    </w:p>
    <w:p>
      <w:pPr>
        <w:spacing w:after="80"/>
        <w:jc w:val="center"/>
      </w:pPr>
      <w:r>
        <w:rPr>
          <w:color w:val="1F2937"/>
          <w:sz w:val="22"/>
          <w:szCs w:val="22"/>
        </w:rPr>
        <w:t xml:space="preserve">Girón, Santander</w:t>
      </w:r>
    </w:p>
    <w:p>
      <w:pPr>
        <w:spacing w:after="60" w:before="800"/>
        <w:jc w:val="center"/>
      </w:pPr>
      <w:r>
        <w:rPr>
          <w:i/>
          <w:iCs/>
          <w:color w:val="777777"/>
          <w:sz w:val="18"/>
          <w:szCs w:val="18"/>
        </w:rPr>
        <w:t xml:space="preserve">Elaborado por Gespro · Consultoría Ambiental — 17 de julio de 2026</w:t>
      </w:r>
    </w:p>
    <w:p>
      <w:pPr>
        <w:jc w:val="center"/>
      </w:pPr>
      <w:r>
        <w:rPr>
          <w:i/>
          <w:iCs/>
          <w:color w:val="777777"/>
          <w:sz w:val="18"/>
          <w:szCs w:val="18"/>
        </w:rPr>
        <w:t xml:space="preserve">Código de trámite: CA-2026-486F4C1C</w:t>
      </w:r>
    </w:p>
    <w:p>
      <w:r>
        <w:br w:type="page"/>
      </w:r>
    </w:p>
    <w:p>
      <w:pPr>
        <w:sectPr>
          <w:pgSz w:w="11906" w:h="16838" w:orient="portrait"/>
          <w:pgMar w:top="1440" w:right="1440" w:bottom="1440" w:left="1440" w:header="708" w:footer="708" w:gutter="0"/>
          <w:pgNumType/>
          <w:titlePg/>
          <w:docGrid w:linePitch="360"/>
        </w:sectPr>
      </w:pPr>
    </w:p>
    <w:p>
      <w:pPr>
        <w:spacing w:after="240"/>
        <w:jc w:val="center"/>
      </w:pPr>
      <w:r>
        <w:rPr>
          <w:b/>
          <w:bCs/>
          <w:color w:val="1F2937"/>
          <w:sz w:val="28"/>
          <w:szCs w:val="28"/>
        </w:rPr>
        <w:t xml:space="preserve">CONTENIDO</w:t>
      </w:r>
    </w:p>
    <w:sdt>
      <w:sdtPr>
        <w:alias w:val="Tabla de contenido"/>
      </w:sdtPr>
      <w:sdtContent>
        <w:p>
          <w:r>
            <w:fldChar w:fldCharType="begin" w:dirty="true"/>
            <w:instrText xml:space="preserve">TOC \h \o "1-3"</w:instrText>
            <w:fldChar w:fldCharType="separate"/>
          </w:r>
        </w:p>
        <w:p>
          <w:r>
            <w:fldChar w:fldCharType="end"/>
          </w:r>
        </w:p>
      </w:sdtContent>
    </w:sdt>
    <w:p>
      <w:r>
        <w:br w:type="page"/>
      </w:r>
    </w:p>
    <w:p>
      <w:pPr>
        <w:pStyle w:val="Heading1"/>
        <w:spacing w:after="200" w:before="360"/>
      </w:pPr>
      <w:r>
        <w:rPr>
          <w:b/>
          <w:bCs/>
          <w:color w:val="1F2937"/>
          <w:sz w:val="28"/>
          <w:szCs w:val="28"/>
        </w:rPr>
        <w:t xml:space="preserve">INTRODUCCIÓN</w:t>
      </w:r>
    </w:p>
    <w:p>
      <w:pPr>
        <w:spacing w:after="160" w:line="320"/>
        <w:jc w:val="both"/>
      </w:pPr>
      <w:r>
        <w:rPr>
          <w:sz w:val="22"/>
          <w:szCs w:val="22"/>
        </w:rPr>
        <w:t xml:space="preserve">El agua constituye un recurso natural de carácter estratégico y de interés público, cuya gestión sostenible es obligación compartida del Estado y de los particulares que hacen uso de él. La Constitución Política de Colombia reconoce en sus artículos 8, 79 y 80 el deber del Estado de proteger la diversidad e integridad del ambiente, garantizar a la ciudadanía el derecho a gozar de un ambiente sano, y planificar el manejo y aprovechamiento de los recursos naturales para prevenir y controlar los factores de deterioro ambiental. En este marco, la Ley 99 de 1993 creó el Sistema Nacional Ambiental (SINA) y otorgó a las Corporaciones Autónomas Regionales, en particular a la Corporación Autónoma Regional de Santander (CAS), las funciones de administrar, dentro del área de su jurisdicción, el medio ambiente y los recursos naturales renovables, entre ellos las aguas subterráneas, y regular su uso conforme a los criterios de sostenibilidad ambiental.</w:t>
      </w:r>
    </w:p>
    <w:p>
      <w:pPr>
        <w:spacing w:after="160" w:line="320"/>
        <w:jc w:val="both"/>
      </w:pPr>
      <w:r>
        <w:rPr>
          <w:sz w:val="22"/>
          <w:szCs w:val="22"/>
        </w:rPr>
        <w:t xml:space="preserve">La Ley 373 de 1997, en sus artículos 1, 2 y 3, establece que todo usuario del recurso hídrico que solicite una concesión de aguas ante la autoridad ambiental competente deberá formular y presentar un Programa de Uso Eficiente y Ahorro del Agua (PUEAA), como instrumento de planificación orientado a garantizar la sostenibilidad del aprovechamiento mediante la adopción de metas de reducción de pérdidas, la implementación de tecnologías eficientes y el seguimiento sistemático del consumo. Este mandato fue reglamentado y actualizado por el Decreto 1090 de 2018, que modificó el Decreto 1076 de 2015, y establece los contenidos mínimos que debe desarrollar el programa, su vigencia, los procedimientos de revisión y ajuste, así como las obligaciones del titular frente a la autoridad ambiental. En el ámbito de la jurisdicción de la CAS, la Resolución 1257 de 2018 precisa los requisitos particulares y los módulos de consumo de referencia que la corporación adopta para la evaluación de las solicitudes de concesión, instrumentos que sirven de base metodológica al presente documento.</w:t>
      </w:r>
    </w:p>
    <w:p>
      <w:pPr>
        <w:spacing w:after="160" w:line="320"/>
        <w:jc w:val="both"/>
      </w:pPr>
      <w:r>
        <w:rPr>
          <w:sz w:val="22"/>
          <w:szCs w:val="22"/>
        </w:rPr>
        <w:t xml:space="preserve">En cumplimiento de las disposiciones anteriores, AVSA SA formula el presente PUEAA como documento soporte de la solicitud de concesión de aguas subterráneas ante la CAS, vinculada a la operación de la Granja Avícola Jamaica, localizada en la vereda Aguas Claras del municipio de Sabana de Torres, departamento de Santander. El aprovechamiento del recurso hídrico se realiza mediante un pozo profundo cuyas coordenadas de captación son latitud 7,275152, longitud -73,558266, y comprende usos pecuario avícola, consumo humano del personal vinculado a la operación y usos complementarios de bioseguridad mediante túnel y arco de desinfección. El caudal total solicitado asciende a 4,219 L/s, calculado con los módulos oficiales de la CAS y los volúmenes manuales verificados en campo para los usos de bioseguridad, de acuerdo con el desglose que se desarrolla en el capítulo de demanda hídrica del presente documento.</w:t>
      </w:r>
    </w:p>
    <w:p>
      <w:pPr>
        <w:spacing w:after="160" w:line="320"/>
        <w:jc w:val="both"/>
      </w:pPr>
      <w:r>
        <w:rPr>
          <w:sz w:val="22"/>
          <w:szCs w:val="22"/>
        </w:rPr>
        <w:t xml:space="preserve">La Granja Avícola Jamaica opera con dos núcleos productivos. El núcleo 1 se encuentra completamente operativo con seis galpones, en tanto que el núcleo 2 cuenta actualmente con dos galpones en operación y cinco galpones en etapa constructiva. La capacidad total instalada y proyectada de la granja determina la demanda hídrica sobre la cual se estructuran los programas de ahorro y eficiencia del presente instrumento, garantizando que las metas y acciones propuestas sean coherentes con el estado real y el horizonte de expansión del proyecto. Las actividades avícolas son reconocidas por el Departamento Nacional de Planeación como una de las actividades económicas representativas del municipio de Sabana de Torres, lo que evidencia la pertinencia socioeconómica del proyecto en el contexto territorial y la necesidad de gestionar el recurso hídrico con criterios de responsabilidad ambiental y continuidad productiva.</w:t>
      </w:r>
    </w:p>
    <w:p>
      <w:pPr>
        <w:spacing w:after="160" w:line="320"/>
        <w:jc w:val="both"/>
      </w:pPr>
      <w:r>
        <w:rPr>
          <w:sz w:val="22"/>
          <w:szCs w:val="22"/>
        </w:rPr>
        <w:t xml:space="preserve">El presente Programa de Uso Eficiente y Ahorro del Agua se estructura en los capítulos exigidos por el Decreto 1090 de 2018 y los lineamientos de la CAS. El documento inicia con la descripción general del proyecto y sus características técnicas, seguida de la caracterización de la fuente hídrica abastecedora y la infraestructura de captación, conducción, almacenamiento y tratamiento existente. Posteriormente se desarrolla el análisis de oferta hídrica de la fuente subterránea y el cálculo detallado de la demanda por cada uso autorizado, con su balance correspondiente. A partir de dicho balance se formulan los programas específicos de ahorro, reducción de pérdidas y uso eficiente, con sus respectivas metas cuantificables, cronograma de implementación, indicadores de seguimiento y presupuesto de ejecución. El documento cierra con los compromisos del titular en materia de monitoreo y reporte periódico ante la autoridad ambiental, conforme al régimen de concesiones del Decreto 1076 de 2015.</w:t>
      </w:r>
    </w:p>
    <w:p>
      <w:r>
        <w:br w:type="page"/>
      </w:r>
    </w:p>
    <w:p>
      <w:pPr>
        <w:pStyle w:val="Heading1"/>
        <w:spacing w:after="200" w:before="360"/>
      </w:pPr>
      <w:r>
        <w:rPr>
          <w:b/>
          <w:bCs/>
          <w:color w:val="1F2937"/>
          <w:sz w:val="28"/>
          <w:szCs w:val="28"/>
        </w:rPr>
        <w:t xml:space="preserve">1. ALCANCE</w:t>
      </w:r>
    </w:p>
    <w:p>
      <w:pPr>
        <w:spacing w:after="160" w:line="320"/>
        <w:jc w:val="both"/>
      </w:pPr>
      <w:r>
        <w:rPr>
          <w:sz w:val="22"/>
          <w:szCs w:val="22"/>
        </w:rPr>
        <w:t xml:space="preserve">El presente Programa para el Uso Eficiente y Ahorro del Agua cubre, en el plano espacial, la totalidad del predio donde opera la Granja Avícola Jamaica, ubicado en la vereda Aguas Claras del municipio de Sabana de Torres, departamento de Santander, con punto de captación subterránea en latitud 7,275152, longitud -73,558266. El área de aplicación directa corresponde a los dos núcleos productivos instalados en el predio, incluyendo los seis galpones operativos del Núcleo 1, los dos galpones operativos del Núcleo 2 y los cinco galpones actualmente en etapa constructiva, así como la infraestructura de conducción en tubería PVC de 4 pulgadas, el sistema de almacenamiento compuesto por tres tanques de agua tratada de 100 m³ cada uno, la planta de tratamiento de agua, el túnel de desinfección, el arco de desinfección vehicular y el reservorio de aguas lluvias identificado como fuente hídrica alterna. El área de influencia indirecta se extiende al entorno hidrogeológico del acuífero captado por el pozo profundo, cuya delimitación precisa deberá corresponder a los resultados del Estudio de Factibilidad Hídrica que acompaña la solicitud de concesión ante la Corporación Autónoma Regional de Santander.</w:t>
      </w:r>
    </w:p>
    <w:p>
      <w:pPr>
        <w:spacing w:after="160" w:line="320"/>
        <w:jc w:val="both"/>
      </w:pPr>
      <w:r>
        <w:rPr>
          <w:sz w:val="22"/>
          <w:szCs w:val="22"/>
        </w:rPr>
        <w:t xml:space="preserve">En el plano temporal, el programa adopta un horizonte de planificación de cinco (5) años contados a partir de la ejecutoria del acto administrativo mediante el cual la CAS otorgue la respectiva concesión de aguas subterráneas. Este horizonte es coherente con la dinámica de crecimiento de la operación avícola, que incorpora cinco galpones en construcción cuya entrada en funcionamiento pleno se estima dentro de los primeros dos años del período de vigencia. Al cabo del quinquenio, el titular deberá presentar ante la autoridad ambiental un informe de cumplimiento y, de ser necesario, un programa actualizado que incorpore los ajustes derivados de la expansión productiva, las mediciones reales de consumo registradas por el medidor de caudal instalado en el punto de captación del pozo profundo y del reservorio, y las eventuales condicionantes que la CAS establezca en la concesión.</w:t>
      </w:r>
    </w:p>
    <w:p>
      <w:pPr>
        <w:spacing w:after="160" w:line="320"/>
        <w:jc w:val="both"/>
      </w:pPr>
      <w:r>
        <w:rPr>
          <w:sz w:val="22"/>
          <w:szCs w:val="22"/>
        </w:rPr>
        <w:t xml:space="preserve">En el plano temático, el programa abarca la totalidad de los usos del recurso hídrico subterráneo identificados en el proyecto: el uso pecuario asociado a la producción avícola de 1.016.000 aves, el consumo humano del personal vinculado a la operación (34 personas permanentes y transitorias), el uso en túnel de desinfección y el uso en arco de desinfección vehicular. El caudal total a solicitar en concesión, resultante de la suma de los módulos aplicados por la CAS a cada uso, asciende a 4,219 L/s. El programa fija metas de reducción progresiva del consumo por unidad productiva, establece los procedimientos de medición, reporte y verificación, e identifica las medidas de uso eficiente aplicables a cada punto de consumo dentro de la cadena hídrica del predio.</w:t>
      </w:r>
    </w:p>
    <w:p>
      <w:pPr>
        <w:spacing w:after="160" w:line="320"/>
        <w:jc w:val="both"/>
      </w:pPr>
      <w:r>
        <w:rPr>
          <w:sz w:val="22"/>
          <w:szCs w:val="22"/>
        </w:rPr>
        <w:t xml:space="preserve">En cuanto a su carácter normativo e instrumental, una vez aprobado mediante acto administrativo de la CAS, el presente programa adquiere carácter vinculante para el titular AVSA SA y se integra como condicionante de la concesión de aguas. Su incumplimiento podrá dar lugar a las medidas preventivas y sancionatorias previstas en el ordenamiento ambiental colombiano. El programa no reemplaza ni modifica las obligaciones derivadas de otros instrumentos de control y seguimiento ambiental que la autoridad competente exija, sino que los complementa desde la perspectiva del uso racional y la protección del recurso hídrico subterráneo aprovechado. Su contenido es de obligatorio acatamiento para los responsables de la operación en todos los núcleos productivos de la granja, incluyendo las áreas en construcción desde el momento en que inicien su operación.</w:t>
      </w:r>
    </w:p>
    <w:p>
      <w:pPr>
        <w:spacing w:after="90" w:before="220"/>
        <w:jc w:val="center"/>
      </w:pPr>
      <w:r>
        <w:rPr>
          <w:b/>
          <w:bCs/>
          <w:sz w:val="20"/>
          <w:szCs w:val="20"/>
        </w:rPr>
        <w:t xml:space="preserve">Tabla 1. Síntesis del alcance del PUEAA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shd w:fill="4A9D8E" w:val="clear"/>
          </w:tcPr>
          <w:p>
            <w:pPr>
              <w:spacing w:after="50" w:before="50"/>
              <w:jc w:val="center"/>
            </w:pPr>
            <w:r>
              <w:rPr>
                <w:b/>
                <w:bCs/>
                <w:color w:val="FFFFFF"/>
                <w:sz w:val="20"/>
                <w:szCs w:val="20"/>
              </w:rPr>
              <w:t xml:space="preserve">Dimensión</w:t>
            </w:r>
          </w:p>
        </w:tc>
        <w:tc>
          <w:tcPr>
            <w:shd w:fill="4A9D8E" w:val="clear"/>
          </w:tcPr>
          <w:p>
            <w:pPr>
              <w:spacing w:after="50" w:before="50"/>
              <w:jc w:val="center"/>
            </w:pPr>
            <w:r>
              <w:rPr>
                <w:b/>
                <w:bCs/>
                <w:color w:val="FFFFFF"/>
                <w:sz w:val="20"/>
                <w:szCs w:val="20"/>
              </w:rPr>
              <w:t xml:space="preserve">Descripción</w:t>
            </w:r>
          </w:p>
        </w:tc>
      </w:tr>
      <w:tr>
        <w:tc>
          <w:tcPr>
            <w:shd w:fill="F1F8F6" w:val="clear"/>
          </w:tcPr>
          <w:p>
            <w:pPr>
              <w:spacing w:after="50" w:before="50"/>
              <w:jc w:val="left"/>
            </w:pPr>
            <w:r>
              <w:rPr>
                <w:sz w:val="20"/>
                <w:szCs w:val="20"/>
              </w:rPr>
              <w:t xml:space="preserve">Alcance espacial directo</w:t>
            </w:r>
          </w:p>
        </w:tc>
        <w:tc>
          <w:tcPr>
            <w:shd w:fill="F1F8F6" w:val="clear"/>
          </w:tcPr>
          <w:p>
            <w:pPr>
              <w:spacing w:after="50" w:before="50"/>
              <w:jc w:val="left"/>
            </w:pPr>
            <w:r>
              <w:rPr>
                <w:sz w:val="20"/>
                <w:szCs w:val="20"/>
              </w:rPr>
              <w:t xml:space="preserve">Totalidad del predio de la Granja Avícola Jamaica: 2 núcleos productivos (6 + 2 galpones operativos y 5 en construcción), redes de conducción, almacenamiento, tratamiento y desinfección</w:t>
            </w:r>
          </w:p>
        </w:tc>
      </w:tr>
      <w:tr>
        <w:tc>
          <w:tcPr>
            <w:shd w:fill="FFFFFF" w:val="clear"/>
          </w:tcPr>
          <w:p>
            <w:pPr>
              <w:spacing w:after="50" w:before="50"/>
              <w:jc w:val="left"/>
            </w:pPr>
            <w:r>
              <w:rPr>
                <w:sz w:val="20"/>
                <w:szCs w:val="20"/>
              </w:rPr>
              <w:t xml:space="preserve">Alcance espacial indirecto</w:t>
            </w:r>
          </w:p>
        </w:tc>
        <w:tc>
          <w:tcPr>
            <w:shd w:fill="FFFFFF" w:val="clear"/>
          </w:tcPr>
          <w:p>
            <w:pPr>
              <w:spacing w:after="50" w:before="50"/>
              <w:jc w:val="left"/>
            </w:pPr>
            <w:r>
              <w:rPr>
                <w:sz w:val="20"/>
                <w:szCs w:val="20"/>
              </w:rPr>
              <w:t xml:space="preserve">Entorno hidrogeológico del acuífero captado por el pozo profundo (latitud 7,275152, longitud -73,558266), conforme al Estudio de Factibilidad Hídrica</w:t>
            </w:r>
          </w:p>
        </w:tc>
      </w:tr>
      <w:tr>
        <w:tc>
          <w:tcPr>
            <w:shd w:fill="F1F8F6" w:val="clear"/>
          </w:tcPr>
          <w:p>
            <w:pPr>
              <w:spacing w:after="50" w:before="50"/>
              <w:jc w:val="left"/>
            </w:pPr>
            <w:r>
              <w:rPr>
                <w:sz w:val="20"/>
                <w:szCs w:val="20"/>
              </w:rPr>
              <w:t xml:space="preserve">Horizonte de planificación</w:t>
            </w:r>
          </w:p>
        </w:tc>
        <w:tc>
          <w:tcPr>
            <w:shd w:fill="F1F8F6" w:val="clear"/>
          </w:tcPr>
          <w:p>
            <w:pPr>
              <w:spacing w:after="50" w:before="50"/>
              <w:jc w:val="left"/>
            </w:pPr>
            <w:r>
              <w:rPr>
                <w:sz w:val="20"/>
                <w:szCs w:val="20"/>
              </w:rPr>
              <w:t xml:space="preserve">5 años a partir de la ejecutoria del acto administrativo de concesión</w:t>
            </w:r>
          </w:p>
        </w:tc>
      </w:tr>
      <w:tr>
        <w:tc>
          <w:tcPr>
            <w:shd w:fill="FFFFFF" w:val="clear"/>
          </w:tcPr>
          <w:p>
            <w:pPr>
              <w:spacing w:after="50" w:before="50"/>
              <w:jc w:val="left"/>
            </w:pPr>
            <w:r>
              <w:rPr>
                <w:sz w:val="20"/>
                <w:szCs w:val="20"/>
              </w:rPr>
              <w:t xml:space="preserve">Usos cubiertos</w:t>
            </w:r>
          </w:p>
        </w:tc>
        <w:tc>
          <w:tcPr>
            <w:shd w:fill="FFFFFF" w:val="clear"/>
          </w:tcPr>
          <w:p>
            <w:pPr>
              <w:spacing w:after="50" w:before="50"/>
              <w:jc w:val="left"/>
            </w:pPr>
            <w:r>
              <w:rPr>
                <w:sz w:val="20"/>
                <w:szCs w:val="20"/>
              </w:rPr>
              <w:t xml:space="preserve">Pecuario avicultura, consumo humano, túnel de desinfección, arco de desinfección vehicular</w:t>
            </w:r>
          </w:p>
        </w:tc>
      </w:tr>
      <w:tr>
        <w:tc>
          <w:tcPr>
            <w:shd w:fill="F1F8F6" w:val="clear"/>
          </w:tcPr>
          <w:p>
            <w:pPr>
              <w:spacing w:after="50" w:before="50"/>
              <w:jc w:val="left"/>
            </w:pPr>
            <w:r>
              <w:rPr>
                <w:sz w:val="20"/>
                <w:szCs w:val="20"/>
              </w:rPr>
              <w:t xml:space="preserve">Caudal total solicitado</w:t>
            </w:r>
          </w:p>
        </w:tc>
        <w:tc>
          <w:tcPr>
            <w:shd w:fill="F1F8F6" w:val="clear"/>
          </w:tcPr>
          <w:p>
            <w:pPr>
              <w:spacing w:after="50" w:before="50"/>
              <w:jc w:val="left"/>
            </w:pPr>
            <w:r>
              <w:rPr>
                <w:sz w:val="20"/>
                <w:szCs w:val="20"/>
              </w:rPr>
              <w:t xml:space="preserve">4,219 L/s (suma de los cuatro usos)</w:t>
            </w:r>
          </w:p>
        </w:tc>
      </w:tr>
      <w:tr>
        <w:tc>
          <w:tcPr>
            <w:shd w:fill="FFFFFF" w:val="clear"/>
          </w:tcPr>
          <w:p>
            <w:pPr>
              <w:spacing w:after="50" w:before="50"/>
              <w:jc w:val="left"/>
            </w:pPr>
            <w:r>
              <w:rPr>
                <w:sz w:val="20"/>
                <w:szCs w:val="20"/>
              </w:rPr>
              <w:t xml:space="preserve">Carácter del instrumento</w:t>
            </w:r>
          </w:p>
        </w:tc>
        <w:tc>
          <w:tcPr>
            <w:shd w:fill="FFFFFF" w:val="clear"/>
          </w:tcPr>
          <w:p>
            <w:pPr>
              <w:spacing w:after="50" w:before="50"/>
              <w:jc w:val="left"/>
            </w:pPr>
            <w:r>
              <w:rPr>
                <w:sz w:val="20"/>
                <w:szCs w:val="20"/>
              </w:rPr>
              <w:t xml:space="preserve">Vinculante para AVSA SA como condicionante de la concesión de aguas subterráneas otorgada por la CAS</w:t>
            </w:r>
          </w:p>
        </w:tc>
      </w:tr>
      <w:tr>
        <w:tc>
          <w:tcPr>
            <w:shd w:fill="F1F8F6" w:val="clear"/>
          </w:tcPr>
          <w:p>
            <w:pPr>
              <w:spacing w:after="50" w:before="50"/>
              <w:jc w:val="left"/>
            </w:pPr>
            <w:r>
              <w:rPr>
                <w:sz w:val="20"/>
                <w:szCs w:val="20"/>
              </w:rPr>
              <w:t xml:space="preserve">Actualización</w:t>
            </w:r>
          </w:p>
        </w:tc>
        <w:tc>
          <w:tcPr>
            <w:shd w:fill="F1F8F6" w:val="clear"/>
          </w:tcPr>
          <w:p>
            <w:pPr>
              <w:spacing w:after="50" w:before="50"/>
              <w:jc w:val="left"/>
            </w:pPr>
            <w:r>
              <w:rPr>
                <w:sz w:val="20"/>
                <w:szCs w:val="20"/>
              </w:rPr>
              <w:t xml:space="preserve">Al término del quinquenio o ante cambios sustanciales en la capacidad instalada o en el caudal concesionado</w:t>
            </w:r>
          </w:p>
        </w:tc>
      </w:tr>
    </w:tbl>
    <w:p>
      <w:pPr>
        <w:spacing w:after="180" w:before="60"/>
        <w:jc w:val="left"/>
      </w:pPr>
      <w:r>
        <w:rPr>
          <w:i/>
          <w:iCs/>
          <w:color w:val="777777"/>
          <w:sz w:val="16"/>
          <w:szCs w:val="16"/>
        </w:rPr>
        <w:t xml:space="preserve">Fuente. Elaboración propia con base en los datos del expediente y los módulos de consumo CAS.</w:t>
      </w:r>
    </w:p>
    <w:p>
      <w:r>
        <w:br w:type="page"/>
      </w:r>
    </w:p>
    <w:p>
      <w:pPr>
        <w:pStyle w:val="Heading1"/>
        <w:spacing w:after="200" w:before="360"/>
      </w:pPr>
      <w:r>
        <w:rPr>
          <w:b/>
          <w:bCs/>
          <w:color w:val="1F2937"/>
          <w:sz w:val="28"/>
          <w:szCs w:val="28"/>
        </w:rPr>
        <w:t xml:space="preserve">2. OBJETIVOS</w:t>
      </w:r>
    </w:p>
    <w:p>
      <w:pPr>
        <w:pStyle w:val="Heading2"/>
        <w:spacing w:after="140" w:before="240"/>
      </w:pPr>
      <w:r>
        <w:rPr>
          <w:b/>
          <w:bCs/>
          <w:color w:val="4A9D8E"/>
          <w:sz w:val="24"/>
          <w:szCs w:val="24"/>
        </w:rPr>
        <w:t xml:space="preserve">2.1. Objetivo general</w:t>
      </w:r>
    </w:p>
    <w:p>
      <w:pPr>
        <w:spacing w:after="160" w:line="320"/>
        <w:jc w:val="both"/>
      </w:pPr>
      <w:r>
        <w:rPr>
          <w:sz w:val="22"/>
          <w:szCs w:val="22"/>
        </w:rPr>
        <w:t xml:space="preserve">Formular el Programa para el Uso Eficiente y Ahorro del Agua de la Granja Avícola Jamaica, operada por AVSA SA, mediante el diagnóstico técnico del sistema de captación de agua subterránea localizado en la vereda Aguas Claras, municipio de Sabana de Torres, Santander, la cuantificación rigurosa de la demanda hídrica asociada a los usos pecuario, doméstico y de desinfección, y el establecimiento de metas, indicadores y acciones que garanticen el aprovechamiento racional del recurso, en cumplimiento de la normativa ambiental colombiana vigente y como soporte técnico a la solicitud de concesión de aguas subterráneas ante la Corporación Autónoma Regional de Santander (CAS).</w:t>
      </w:r>
    </w:p>
    <w:p>
      <w:pPr>
        <w:pStyle w:val="Heading2"/>
        <w:spacing w:after="140" w:before="240"/>
      </w:pPr>
      <w:r>
        <w:rPr>
          <w:b/>
          <w:bCs/>
          <w:color w:val="4A9D8E"/>
          <w:sz w:val="24"/>
          <w:szCs w:val="24"/>
        </w:rPr>
        <w:t xml:space="preserve">2.2. Objetivos específicos</w:t>
      </w:r>
    </w:p>
    <w:p>
      <w:pPr>
        <w:spacing w:after="160" w:line="320"/>
        <w:jc w:val="both"/>
      </w:pPr>
      <w:r>
        <w:rPr>
          <w:sz w:val="22"/>
          <w:szCs w:val="22"/>
        </w:rPr>
        <w:t xml:space="preserve">Los objetivos específicos que orientan el presente programa se derivan directamente de la estructura operativa y de los usos del recurso hídrico identificados en el levantamiento de campo realizado en el predio. Cada objetivo es medible mediante indicadores de seguimiento y se articula con el plan de acción desarrollado en las secciones posteriores del documento.</w:t>
      </w:r>
    </w:p>
    <w:p>
      <w:pPr>
        <w:pStyle w:val="ListParagraph"/>
        <w:numPr>
          <w:ilvl w:val="0"/>
          <w:numId w:val="2"/>
        </w:numPr>
        <w:spacing w:after="100" w:line="300"/>
        <w:jc w:val="both"/>
      </w:pPr>
      <w:r>
        <w:rPr>
          <w:sz w:val="22"/>
          <w:szCs w:val="22"/>
        </w:rPr>
        <w:t xml:space="preserve">Caracterizar el sistema de captación, conducción y almacenamiento de agua del pozo profundo ubicado en las coordenadas latitud 7,275152, longitud -73,558266, determinando los parámetros técnicos operativos que soportan el caudal solicitado de 4,219 L/s, en función del desglose de usos identificados para la operación del proyecto.</w:t>
      </w:r>
    </w:p>
    <w:p>
      <w:pPr>
        <w:pStyle w:val="ListParagraph"/>
        <w:numPr>
          <w:ilvl w:val="0"/>
          <w:numId w:val="2"/>
        </w:numPr>
        <w:spacing w:after="100" w:line="300"/>
        <w:jc w:val="both"/>
      </w:pPr>
      <w:r>
        <w:rPr>
          <w:sz w:val="22"/>
          <w:szCs w:val="22"/>
        </w:rPr>
        <w:t xml:space="preserve">Cuantificar la demanda hídrica total del proyecto, desagregando los volúmenes correspondientes al uso pecuario (1.016.000 aves), al consumo humano (34 personas), al sistema de túnel de desinfección y al arco de desinfección vehicular, con base en los módulos de consumo adoptados por la CAS y los caudales manuales sustentados en la operación real del predio.</w:t>
      </w:r>
    </w:p>
    <w:p>
      <w:pPr>
        <w:pStyle w:val="ListParagraph"/>
        <w:numPr>
          <w:ilvl w:val="0"/>
          <w:numId w:val="2"/>
        </w:numPr>
        <w:spacing w:after="100" w:line="300"/>
        <w:jc w:val="both"/>
      </w:pPr>
      <w:r>
        <w:rPr>
          <w:sz w:val="22"/>
          <w:szCs w:val="22"/>
        </w:rPr>
        <w:t xml:space="preserve">Evaluar la infraestructura de almacenamiento y tratamiento de agua existente en la granja —conformada por tres tanques de 100 m³ cada uno y el sistema de tratamiento con etapa de potabilización identificado en campo— con el fin de determinar su capacidad de regulación y su contribución a la reducción de pérdidas en el sistema de distribución interno.</w:t>
      </w:r>
    </w:p>
    <w:p>
      <w:pPr>
        <w:pStyle w:val="ListParagraph"/>
        <w:numPr>
          <w:ilvl w:val="0"/>
          <w:numId w:val="2"/>
        </w:numPr>
        <w:spacing w:after="100" w:line="300"/>
        <w:jc w:val="both"/>
      </w:pPr>
      <w:r>
        <w:rPr>
          <w:sz w:val="22"/>
          <w:szCs w:val="22"/>
        </w:rPr>
        <w:t xml:space="preserve">Incorporar la fuente hídrica alterna identificada en campo —reservorio de aguas lluvias ubicado en las coordenadas latitud 7,274473, longitud -73,558548— como componente complementario del balance hídrico del proyecto, estableciendo lineamientos para su articulación con el sistema de suministro principal y su aprovechamiento en períodos de alta disponibilidad pluviométrica.</w:t>
      </w:r>
    </w:p>
    <w:p>
      <w:pPr>
        <w:pStyle w:val="ListParagraph"/>
        <w:numPr>
          <w:ilvl w:val="0"/>
          <w:numId w:val="2"/>
        </w:numPr>
        <w:spacing w:after="100" w:line="300"/>
        <w:jc w:val="both"/>
      </w:pPr>
      <w:r>
        <w:rPr>
          <w:sz w:val="22"/>
          <w:szCs w:val="22"/>
        </w:rPr>
        <w:t xml:space="preserve">Definir un conjunto de indicadores de eficiencia hídrica, con línea base, metas anuales verificables y responsables, que permitan a la CAS y al titular realizar el seguimiento periódico al cumplimiento del programa y acreditar la reducción progresiva de pérdidas y del consumo per cápita por unidad productiva.</w:t>
      </w:r>
    </w:p>
    <w:p>
      <w:pPr>
        <w:pStyle w:val="ListParagraph"/>
        <w:numPr>
          <w:ilvl w:val="0"/>
          <w:numId w:val="2"/>
        </w:numPr>
        <w:spacing w:after="100" w:line="300"/>
        <w:jc w:val="both"/>
      </w:pPr>
      <w:r>
        <w:rPr>
          <w:sz w:val="22"/>
          <w:szCs w:val="22"/>
        </w:rPr>
        <w:t xml:space="preserve">Estructurar un plan de acción con actividades, responsables, periodicidad y presupuesto estimado, orientado a la implementación de medidas técnicas y operativas de ahorro y uso eficiente del agua en los procesos de bebida animal, consumo doméstico y desinfección, con verificación mediante el medidor de caudal instalado en el punto de captación del pozo y del reservorio.</w:t>
      </w:r>
    </w:p>
    <w:p>
      <w:pPr>
        <w:pStyle w:val="ListParagraph"/>
        <w:numPr>
          <w:ilvl w:val="0"/>
          <w:numId w:val="2"/>
        </w:numPr>
        <w:spacing w:after="100" w:line="300"/>
        <w:jc w:val="both"/>
      </w:pPr>
      <w:r>
        <w:rPr>
          <w:sz w:val="22"/>
          <w:szCs w:val="22"/>
        </w:rPr>
        <w:t xml:space="preserve">Establecer las medidas de manejo, protección y conservación asociadas al pozo profundo como fuente de abastecimiento, en articulación con el análisis de restricciones ambientales del área de influencia del proyecto, incluyendo la verificación de ausencia de áreas protegidas en el entorno inmediato del punto de captación.</w:t>
      </w:r>
    </w:p>
    <w:p>
      <w:r>
        <w:br w:type="page"/>
      </w:r>
    </w:p>
    <w:p>
      <w:pPr>
        <w:pStyle w:val="Heading1"/>
        <w:spacing w:after="200" w:before="360"/>
      </w:pPr>
      <w:r>
        <w:rPr>
          <w:b/>
          <w:bCs/>
          <w:color w:val="1F2937"/>
          <w:sz w:val="28"/>
          <w:szCs w:val="28"/>
        </w:rPr>
        <w:t xml:space="preserve">3. MARCO NORMATIVO</w:t>
      </w:r>
    </w:p>
    <w:p>
      <w:pPr>
        <w:spacing w:after="160" w:line="320"/>
        <w:jc w:val="both"/>
      </w:pPr>
      <w:r>
        <w:rPr>
          <w:sz w:val="22"/>
          <w:szCs w:val="22"/>
        </w:rPr>
        <w:t xml:space="preserve">El ordenamiento jurídico colombiano establece un sistema escalonado de disposiciones constitucionales, legales y reglamentarias que regulan el aprovechamiento del recurso hídrico subterráneo, la formulación de instrumentos de planificación ambiental y la gestión de las concesiones de agua. La Granja Avícola Jamaica, cuya fuente de abastecimiento es un pozo profundo ubicado en la vereda Aguas Claras del municipio de Sabana de Torres, queda sujeta a la totalidad de este ordenamiento. A continuación se analiza cada instrumento normativo aplicable, identificando las obligaciones específicas que impone al titular y la manera en que el presente Programa de Uso Eficiente y Ahorro del Agua (PUEAA) da respuesta a dichas exigencias.</w:t>
      </w:r>
    </w:p>
    <w:p>
      <w:pPr>
        <w:pStyle w:val="Heading2"/>
        <w:spacing w:after="140" w:before="240"/>
      </w:pPr>
      <w:r>
        <w:rPr>
          <w:b/>
          <w:bCs/>
          <w:color w:val="4A9D8E"/>
          <w:sz w:val="24"/>
          <w:szCs w:val="24"/>
        </w:rPr>
        <w:t xml:space="preserve">3.1. Fundamento constitucional</w:t>
      </w:r>
    </w:p>
    <w:p>
      <w:pPr>
        <w:spacing w:after="160" w:line="320"/>
        <w:jc w:val="both"/>
      </w:pPr>
      <w:r>
        <w:rPr>
          <w:sz w:val="22"/>
          <w:szCs w:val="22"/>
        </w:rPr>
        <w:t xml:space="preserve">La Constitución Política de Colombia de 1991 consagra en su artículo 8 la obligación del Estado y de los particulares de proteger las riquezas culturales y naturales de la Nación, principio que se extiende al recurso hídrico subterráneo como bien de dominio público inalienable. El artículo 79 reconoce el derecho de toda persona a gozar de un ambiente sano y atribuye al Estado el deber de proteger la diversidad e integridad del ambiente. El artículo 80 establece el mandato de planificación del manejo y aprovechamiento de los recursos naturales renovables, con el fin de garantizar su desarrollo sostenible, su conservación, restauración o sustitución, y la prevención y control de los factores de deterioro ambiental. Estas tres disposiciones constituyen el sustento constitucional que justifica tanto la exigencia de concesión previa al uso del agua subterránea como la obligatoriedad del PUEAA como instrumento de planificación que demuestra el aprovechamiento racional del recurso.</w:t>
      </w:r>
    </w:p>
    <w:p>
      <w:pPr>
        <w:pStyle w:val="Heading2"/>
        <w:spacing w:after="140" w:before="240"/>
      </w:pPr>
      <w:r>
        <w:rPr>
          <w:b/>
          <w:bCs/>
          <w:color w:val="4A9D8E"/>
          <w:sz w:val="24"/>
          <w:szCs w:val="24"/>
        </w:rPr>
        <w:t xml:space="preserve">3.2. Ley 99 de 1993</w:t>
      </w:r>
    </w:p>
    <w:p>
      <w:pPr>
        <w:spacing w:after="160" w:line="320"/>
        <w:jc w:val="both"/>
      </w:pPr>
      <w:r>
        <w:rPr>
          <w:sz w:val="22"/>
          <w:szCs w:val="22"/>
        </w:rPr>
        <w:t xml:space="preserve">La Ley 99 de 1993 creó el Sistema Nacional Ambiental (SINA) y estableció el marco institucional para la gestión ambiental en Colombia. Su artículo 1 define los principios generales ambientales, entre ellos el de precaución y el de desarrollo sostenible, que orientan cualquier decisión sobre aprovechamiento de aguas subterráneas. El artículo 23 creó las Corporaciones Autónomas Regionales como entes corporativos de carácter público, encargados de administrar dentro del área de su jurisdicción el medio ambiente y los recursos naturales renovables. El artículo 31 asigna a las CAR la función expresa de otorgar concesiones, permisos, autorizaciones y licencias ambientales requeridos por la ley para el uso, aprovechamiento o movilización de los recursos naturales. En consecuencia, la Corporación Autónoma Regional de Santander (CAS) es la autoridad ambiental competente para tramitar la concesión de aguas subterráneas solicitada por AVSA SA, evaluar el presente PUEAA y ejercer el seguimiento y control posterior al otorgamiento.</w:t>
      </w:r>
    </w:p>
    <w:p>
      <w:pPr>
        <w:pStyle w:val="Heading2"/>
        <w:spacing w:after="140" w:before="240"/>
      </w:pPr>
      <w:r>
        <w:rPr>
          <w:b/>
          <w:bCs/>
          <w:color w:val="4A9D8E"/>
          <w:sz w:val="24"/>
          <w:szCs w:val="24"/>
        </w:rPr>
        <w:t xml:space="preserve">3.3. Ley 373 de 1997 — Programa de Uso Eficiente y Ahorro del Agua</w:t>
      </w:r>
    </w:p>
    <w:p>
      <w:pPr>
        <w:spacing w:after="160" w:line="320"/>
        <w:jc w:val="both"/>
      </w:pPr>
      <w:r>
        <w:rPr>
          <w:sz w:val="22"/>
          <w:szCs w:val="22"/>
        </w:rPr>
        <w:t xml:space="preserve">La Ley 373 de 1997 estableció el Programa de Uso Eficiente y Ahorro del Agua como instrumento obligatorio para todo proyecto, obra o actividad que implique el uso del recurso hídrico. Su artículo 1 ordena a los usuarios del recurso formular, implementar y actualizar dicho programa como condición para el otorgamiento y renovación de concesiones de agua. El artículo 2 define los componentes mínimos del programa, incluyendo el diagnóstico del uso actual, las metas de reducción del consumo, las medidas tecnológicas y operativas de ahorro, y los mecanismos de seguimiento. El artículo 3 señala que la entidad ambiental competente debe verificar el cumplimiento del programa durante la vigencia de la concesión. El presente documento acredita el cumplimiento de estas exigencias mediante la cuantificación detallada de la demanda hídrica por uso — avicultura, consumo humano y desinfección — y la formulación de medidas concretas de ahorro aplicables a las condiciones operativas de la granja.</w:t>
      </w:r>
    </w:p>
    <w:p>
      <w:pPr>
        <w:pStyle w:val="Heading2"/>
        <w:spacing w:after="140" w:before="240"/>
      </w:pPr>
      <w:r>
        <w:rPr>
          <w:b/>
          <w:bCs/>
          <w:color w:val="4A9D8E"/>
          <w:sz w:val="24"/>
          <w:szCs w:val="24"/>
        </w:rPr>
        <w:t xml:space="preserve">3.4. Decreto 1076 de 2015 — Decreto Único Reglamentario del Sector Ambiente</w:t>
      </w:r>
    </w:p>
    <w:p>
      <w:pPr>
        <w:spacing w:after="160" w:line="320"/>
        <w:jc w:val="both"/>
      </w:pPr>
      <w:r>
        <w:rPr>
          <w:sz w:val="22"/>
          <w:szCs w:val="22"/>
        </w:rPr>
        <w:t xml:space="preserve">El Decreto 1076 de 2015 compiló la reglamentación del sector ambiental y constituye el principal instrumento reglamentario aplicable a la concesión de aguas subterráneas. El artículo 2.2.3.2.1.1.4 establece la obligación de presentar el PUEAA como requisito previo a la expedición de la concesión, condicionando su vigencia a la implementación efectiva del programa. Las disposiciones del capítulo de concesiones de aguas no marítimas regulan los requisitos de la solicitud, los criterios técnicos para la evaluación de la oferta y la demanda hídrica, los plazos de otorgamiento, las obligaciones del concesionario durante la vigencia del permiso y las causales de modificación, suspensión o revocatoria. Para el presente proyecto, resultan especialmente relevantes las disposiciones referidas a fuentes subterráneas, dado que el único punto de captación es el pozo profundo localizado en las coordenadas latitud 7,275152, longitud -73,558266, cuyo caudal a solicitar asciende a 4,219 L/s, distribuidos entre los usos pecuario, doméstico y desinfección vehicular y de personal.</w:t>
      </w:r>
    </w:p>
    <w:p>
      <w:pPr>
        <w:pStyle w:val="Heading2"/>
        <w:spacing w:after="140" w:before="240"/>
      </w:pPr>
      <w:r>
        <w:rPr>
          <w:b/>
          <w:bCs/>
          <w:color w:val="4A9D8E"/>
          <w:sz w:val="24"/>
          <w:szCs w:val="24"/>
        </w:rPr>
        <w:t xml:space="preserve">3.5. Decreto 1090 de 2018 — Reglamento del PUEAA</w:t>
      </w:r>
    </w:p>
    <w:p>
      <w:pPr>
        <w:spacing w:after="160" w:line="320"/>
        <w:jc w:val="both"/>
      </w:pPr>
      <w:r>
        <w:rPr>
          <w:sz w:val="22"/>
          <w:szCs w:val="22"/>
        </w:rPr>
        <w:t xml:space="preserve">El Decreto 1090 de 2018 reglamentó el artículo 1 de la Ley 373 de 1997 y precisó el contenido técnico mínimo que debe contener el PUEAA para ser aceptado por la autoridad ambiental. Este decreto definió que el programa debe incluir, como mínimo: la caracterización de la fuente abastecedora, la cuantificación de la demanda hídrica por proceso productivo, el análisis de la oferta disponible, el balance hídrico, las metas anuales de reducción del consumo expresadas en porcentaje o en volumen, las estrategias de uso eficiente y las medidas de ahorro con sus indicadores de seguimiento. Para el proyecto, el decreto impone la obligación de cuantificar separadamente los caudales correspondientes a cada categoría de uso —pecuario avícola, doméstico y otros usos de desinfección— y de establecer metas verificables de reducción, las cuales quedan consignadas en los capítulos subsiguientes del presente documento.</w:t>
      </w:r>
    </w:p>
    <w:p>
      <w:pPr>
        <w:pStyle w:val="Heading2"/>
        <w:spacing w:after="140" w:before="240"/>
      </w:pPr>
      <w:r>
        <w:rPr>
          <w:b/>
          <w:bCs/>
          <w:color w:val="4A9D8E"/>
          <w:sz w:val="24"/>
          <w:szCs w:val="24"/>
        </w:rPr>
        <w:t xml:space="preserve">3.6. Resolución 1257 de 2018 — CAS</w:t>
      </w:r>
    </w:p>
    <w:p>
      <w:pPr>
        <w:spacing w:after="160" w:line="320"/>
        <w:jc w:val="both"/>
      </w:pPr>
      <w:r>
        <w:rPr>
          <w:sz w:val="22"/>
          <w:szCs w:val="22"/>
        </w:rPr>
        <w:t xml:space="preserve">La Resolución 1257 de 2018, expedida por la Corporación Autónoma Regional de Santander, adoptó los módulos de consumo y los lineamientos técnicos para la formulación de PUEAA en el ámbito de jurisdicción de la CAS. Este acto administrativo es de aplicación directa al presente trámite, pues fija los módulos oficiales que determinan el caudal concesionable según la categoría de uso. Para el proyecto se aplican los módulos correspondientes a avicultura (0,000004 L/s por ave), consumo humano (0,002 L/s por persona) y los caudales diferenciales para usos de desinfección, con base en los cuales se calculó el caudal total de 4,219 L/s. El cumplimiento de estos módulos garantiza que la solicitud de concesión sea consistente con los criterios de evaluación que la CAS emplea en sus procesos de verificación técnica, reduciendo la probabilidad de observaciones por parte del evaluador.</w:t>
      </w:r>
    </w:p>
    <w:p>
      <w:pPr>
        <w:pStyle w:val="Heading2"/>
        <w:spacing w:after="140" w:before="240"/>
      </w:pPr>
      <w:r>
        <w:rPr>
          <w:b/>
          <w:bCs/>
          <w:color w:val="4A9D8E"/>
          <w:sz w:val="24"/>
          <w:szCs w:val="24"/>
        </w:rPr>
        <w:t xml:space="preserve">3.7. Decreto 1640 de 2012 — Ordenamiento y manejo de cuencas hidrográficas</w:t>
      </w:r>
    </w:p>
    <w:p>
      <w:pPr>
        <w:spacing w:after="160" w:line="320"/>
        <w:jc w:val="both"/>
      </w:pPr>
      <w:r>
        <w:rPr>
          <w:sz w:val="22"/>
          <w:szCs w:val="22"/>
        </w:rPr>
        <w:t xml:space="preserve">El Decreto 1640 de 2012 reglamentó los instrumentos para la planificación, ordenación y manejo de las cuencas hidrográficas y acuíferos en Colombia. Este decreto establece la jerarquía de los instrumentos de planificación hídrica y señala que los Planes de Ordenación y Manejo de Cuencas Hidrográficas (POMCA) constituyen la norma de mayor jerarquía para el uso, manejo y aprovechamiento de los recursos naturales en la cuenca respectiva. El proyecto se localiza en la subzona hidrográfica del río Sogamoso, cuya cuenca es objeto de planificación ambiental por parte de la CAS. Las determinaciones del POMCA vigente para esta cuenca son vinculantes para el otorgamiento de la concesión, y el análisis de oferta hídrica y de restricciones ambientales del presente PUEAA debe ser coherente con la zonificación y las medidas de manejo allí establecidas.</w:t>
      </w:r>
    </w:p>
    <w:p>
      <w:pPr>
        <w:pStyle w:val="Heading2"/>
        <w:spacing w:after="140" w:before="240"/>
      </w:pPr>
      <w:r>
        <w:rPr>
          <w:b/>
          <w:bCs/>
          <w:color w:val="4A9D8E"/>
          <w:sz w:val="24"/>
          <w:szCs w:val="24"/>
        </w:rPr>
        <w:t xml:space="preserve">3.8. Resolución 330 de 2017 — Reglamento Técnico del Sector de Agua Potable (RAS)</w:t>
      </w:r>
    </w:p>
    <w:p>
      <w:pPr>
        <w:spacing w:after="160" w:line="320"/>
        <w:jc w:val="both"/>
      </w:pPr>
      <w:r>
        <w:rPr>
          <w:sz w:val="22"/>
          <w:szCs w:val="22"/>
        </w:rPr>
        <w:t xml:space="preserve">La Resolución 330 de 2017, expedida por el Ministerio de Vivienda, Ciudad y Territorio, adoptó el Reglamento Técnico del Sector de Agua Potable y Saneamiento Básico (RAS), aplicable a los sistemas de abastecimiento, tratamiento y distribución de agua. Para el proyecto, esta norma rige el diseño y operación del sistema de tratamiento de agua implementado en la granja —cuya existencia se constata en el levantamiento de campo a través de la infraestructura identificada como PTAP—, así como el sistema de almacenamiento conformado por tres tanques de 100 m³ cada uno. El RAS establece los parámetros mínimos de calidad del agua para consumo humano, los criterios de capacidad hidráulica de los sistemas de almacenamiento y los estándares de operación que deben cumplirse para garantizar la inocuidad del agua suministrada al personal de 34 personas que labora en la granja.</w:t>
      </w:r>
    </w:p>
    <w:p>
      <w:pPr>
        <w:pStyle w:val="Heading2"/>
        <w:spacing w:after="140" w:before="240"/>
      </w:pPr>
      <w:r>
        <w:rPr>
          <w:b/>
          <w:bCs/>
          <w:color w:val="4A9D8E"/>
          <w:sz w:val="24"/>
          <w:szCs w:val="24"/>
        </w:rPr>
        <w:t xml:space="preserve">3.9. Tabla resumen del marco normativo</w:t>
      </w:r>
    </w:p>
    <w:p>
      <w:pPr>
        <w:spacing w:after="90" w:before="220"/>
        <w:jc w:val="center"/>
      </w:pPr>
      <w:r>
        <w:rPr>
          <w:b/>
          <w:bCs/>
          <w:sz w:val="20"/>
          <w:szCs w:val="20"/>
        </w:rPr>
        <w:t xml:space="preserve">Tabla 2. Marco normativo aplicable al proyecto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Norma</w:t>
            </w:r>
          </w:p>
        </w:tc>
        <w:tc>
          <w:tcPr>
            <w:shd w:fill="4A9D8E" w:val="clear"/>
          </w:tcPr>
          <w:p>
            <w:pPr>
              <w:spacing w:after="50" w:before="50"/>
              <w:jc w:val="center"/>
            </w:pPr>
            <w:r>
              <w:rPr>
                <w:b/>
                <w:bCs/>
                <w:color w:val="FFFFFF"/>
                <w:sz w:val="20"/>
                <w:szCs w:val="20"/>
              </w:rPr>
              <w:t xml:space="preserve">Objeto principal</w:t>
            </w:r>
          </w:p>
        </w:tc>
        <w:tc>
          <w:tcPr>
            <w:shd w:fill="4A9D8E" w:val="clear"/>
          </w:tcPr>
          <w:p>
            <w:pPr>
              <w:spacing w:after="50" w:before="50"/>
              <w:jc w:val="center"/>
            </w:pPr>
            <w:r>
              <w:rPr>
                <w:b/>
                <w:bCs/>
                <w:color w:val="FFFFFF"/>
                <w:sz w:val="20"/>
                <w:szCs w:val="20"/>
              </w:rPr>
              <w:t xml:space="preserve">Aplicación específica al proyecto</w:t>
            </w:r>
          </w:p>
        </w:tc>
      </w:tr>
      <w:tr>
        <w:tc>
          <w:tcPr>
            <w:shd w:fill="F1F8F6" w:val="clear"/>
          </w:tcPr>
          <w:p>
            <w:pPr>
              <w:spacing w:after="50" w:before="50"/>
              <w:jc w:val="left"/>
            </w:pPr>
            <w:r>
              <w:rPr>
                <w:sz w:val="20"/>
                <w:szCs w:val="20"/>
              </w:rPr>
              <w:t xml:space="preserve">Constitución Política, arts. 8, 79 y 80</w:t>
            </w:r>
          </w:p>
        </w:tc>
        <w:tc>
          <w:tcPr>
            <w:shd w:fill="F1F8F6" w:val="clear"/>
          </w:tcPr>
          <w:p>
            <w:pPr>
              <w:spacing w:after="50" w:before="50"/>
              <w:jc w:val="left"/>
            </w:pPr>
            <w:r>
              <w:rPr>
                <w:sz w:val="20"/>
                <w:szCs w:val="20"/>
              </w:rPr>
              <w:t xml:space="preserve">Protección del ambiente y planificación de recursos naturales renovables</w:t>
            </w:r>
          </w:p>
        </w:tc>
        <w:tc>
          <w:tcPr>
            <w:shd w:fill="F1F8F6" w:val="clear"/>
          </w:tcPr>
          <w:p>
            <w:pPr>
              <w:spacing w:after="50" w:before="50"/>
              <w:jc w:val="left"/>
            </w:pPr>
            <w:r>
              <w:rPr>
                <w:sz w:val="20"/>
                <w:szCs w:val="20"/>
              </w:rPr>
              <w:t xml:space="preserve">Sustenta el deber del titular de explotar el agua subterránea de forma sostenible y justifica la exigencia de concesión y PUEAA</w:t>
            </w:r>
          </w:p>
        </w:tc>
      </w:tr>
      <w:tr>
        <w:tc>
          <w:tcPr>
            <w:shd w:fill="FFFFFF" w:val="clear"/>
          </w:tcPr>
          <w:p>
            <w:pPr>
              <w:spacing w:after="50" w:before="50"/>
              <w:jc w:val="left"/>
            </w:pPr>
            <w:r>
              <w:rPr>
                <w:sz w:val="20"/>
                <w:szCs w:val="20"/>
              </w:rPr>
              <w:t xml:space="preserve">Ley 99 de 1993, arts. 1, 23 y 31</w:t>
            </w:r>
          </w:p>
        </w:tc>
        <w:tc>
          <w:tcPr>
            <w:shd w:fill="FFFFFF" w:val="clear"/>
          </w:tcPr>
          <w:p>
            <w:pPr>
              <w:spacing w:after="50" w:before="50"/>
              <w:jc w:val="left"/>
            </w:pPr>
            <w:r>
              <w:rPr>
                <w:sz w:val="20"/>
                <w:szCs w:val="20"/>
              </w:rPr>
              <w:t xml:space="preserve">Creación del SINA y definición de competencias de las CAR</w:t>
            </w:r>
          </w:p>
        </w:tc>
        <w:tc>
          <w:tcPr>
            <w:shd w:fill="FFFFFF" w:val="clear"/>
          </w:tcPr>
          <w:p>
            <w:pPr>
              <w:spacing w:after="50" w:before="50"/>
              <w:jc w:val="left"/>
            </w:pPr>
            <w:r>
              <w:rPr>
                <w:sz w:val="20"/>
                <w:szCs w:val="20"/>
              </w:rPr>
              <w:t xml:space="preserve">Establece a la CAS como autoridad competente para otorgar la concesión de aguas subterráneas y hacer seguimiento al PUEAA</w:t>
            </w:r>
          </w:p>
        </w:tc>
      </w:tr>
      <w:tr>
        <w:tc>
          <w:tcPr>
            <w:shd w:fill="F1F8F6" w:val="clear"/>
          </w:tcPr>
          <w:p>
            <w:pPr>
              <w:spacing w:after="50" w:before="50"/>
              <w:jc w:val="left"/>
            </w:pPr>
            <w:r>
              <w:rPr>
                <w:sz w:val="20"/>
                <w:szCs w:val="20"/>
              </w:rPr>
              <w:t xml:space="preserve">Ley 373 de 1997, arts. 1, 2 y 3</w:t>
            </w:r>
          </w:p>
        </w:tc>
        <w:tc>
          <w:tcPr>
            <w:shd w:fill="F1F8F6" w:val="clear"/>
          </w:tcPr>
          <w:p>
            <w:pPr>
              <w:spacing w:after="50" w:before="50"/>
              <w:jc w:val="left"/>
            </w:pPr>
            <w:r>
              <w:rPr>
                <w:sz w:val="20"/>
                <w:szCs w:val="20"/>
              </w:rPr>
              <w:t xml:space="preserve">Obligatoriedad del PUEAA para usuarios del recurso hídrico</w:t>
            </w:r>
          </w:p>
        </w:tc>
        <w:tc>
          <w:tcPr>
            <w:shd w:fill="F1F8F6" w:val="clear"/>
          </w:tcPr>
          <w:p>
            <w:pPr>
              <w:spacing w:after="50" w:before="50"/>
              <w:jc w:val="left"/>
            </w:pPr>
            <w:r>
              <w:rPr>
                <w:sz w:val="20"/>
                <w:szCs w:val="20"/>
              </w:rPr>
              <w:t xml:space="preserve">Obliga a AVSA SA a formular y ejecutar el presente programa como condición para el otorgamiento y vigencia de la concesión</w:t>
            </w:r>
          </w:p>
        </w:tc>
      </w:tr>
      <w:tr>
        <w:tc>
          <w:tcPr>
            <w:shd w:fill="FFFFFF" w:val="clear"/>
          </w:tcPr>
          <w:p>
            <w:pPr>
              <w:spacing w:after="50" w:before="50"/>
              <w:jc w:val="left"/>
            </w:pPr>
            <w:r>
              <w:rPr>
                <w:sz w:val="20"/>
                <w:szCs w:val="20"/>
              </w:rPr>
              <w:t xml:space="preserve">Decreto 1076 de 2015, art. 2.2.3.2.1.1.4 y régimen de concesiones</w:t>
            </w:r>
          </w:p>
        </w:tc>
        <w:tc>
          <w:tcPr>
            <w:shd w:fill="FFFFFF" w:val="clear"/>
          </w:tcPr>
          <w:p>
            <w:pPr>
              <w:spacing w:after="50" w:before="50"/>
              <w:jc w:val="left"/>
            </w:pPr>
            <w:r>
              <w:rPr>
                <w:sz w:val="20"/>
                <w:szCs w:val="20"/>
              </w:rPr>
              <w:t xml:space="preserve">Reglamentación del régimen de concesiones de aguas no marítimas</w:t>
            </w:r>
          </w:p>
        </w:tc>
        <w:tc>
          <w:tcPr>
            <w:shd w:fill="FFFFFF" w:val="clear"/>
          </w:tcPr>
          <w:p>
            <w:pPr>
              <w:spacing w:after="50" w:before="50"/>
              <w:jc w:val="left"/>
            </w:pPr>
            <w:r>
              <w:rPr>
                <w:sz w:val="20"/>
                <w:szCs w:val="20"/>
              </w:rPr>
              <w:t xml:space="preserve">Regula los requisitos, criterios de evaluación y obligaciones del concesionario para el pozo profundo de la granja</w:t>
            </w:r>
          </w:p>
        </w:tc>
      </w:tr>
      <w:tr>
        <w:tc>
          <w:tcPr>
            <w:shd w:fill="F1F8F6" w:val="clear"/>
          </w:tcPr>
          <w:p>
            <w:pPr>
              <w:spacing w:after="50" w:before="50"/>
              <w:jc w:val="left"/>
            </w:pPr>
            <w:r>
              <w:rPr>
                <w:sz w:val="20"/>
                <w:szCs w:val="20"/>
              </w:rPr>
              <w:t xml:space="preserve">Decreto 1090 de 2018</w:t>
            </w:r>
          </w:p>
        </w:tc>
        <w:tc>
          <w:tcPr>
            <w:shd w:fill="F1F8F6" w:val="clear"/>
          </w:tcPr>
          <w:p>
            <w:pPr>
              <w:spacing w:after="50" w:before="50"/>
              <w:jc w:val="left"/>
            </w:pPr>
            <w:r>
              <w:rPr>
                <w:sz w:val="20"/>
                <w:szCs w:val="20"/>
              </w:rPr>
              <w:t xml:space="preserve">Reglamentación del contenido técnico mínimo del PUEAA</w:t>
            </w:r>
          </w:p>
        </w:tc>
        <w:tc>
          <w:tcPr>
            <w:shd w:fill="F1F8F6" w:val="clear"/>
          </w:tcPr>
          <w:p>
            <w:pPr>
              <w:spacing w:after="50" w:before="50"/>
              <w:jc w:val="left"/>
            </w:pPr>
            <w:r>
              <w:rPr>
                <w:sz w:val="20"/>
                <w:szCs w:val="20"/>
              </w:rPr>
              <w:t xml:space="preserve">Define la estructura y componentes que debe incluir este documento: diagnóstico, balance hídrico, metas y estrategias de ahorro</w:t>
            </w:r>
          </w:p>
        </w:tc>
      </w:tr>
      <w:tr>
        <w:tc>
          <w:tcPr>
            <w:shd w:fill="FFFFFF" w:val="clear"/>
          </w:tcPr>
          <w:p>
            <w:pPr>
              <w:spacing w:after="50" w:before="50"/>
              <w:jc w:val="left"/>
            </w:pPr>
            <w:r>
              <w:rPr>
                <w:sz w:val="20"/>
                <w:szCs w:val="20"/>
              </w:rPr>
              <w:t xml:space="preserve">Resolución 1257 de 2018 — CAS</w:t>
            </w:r>
          </w:p>
        </w:tc>
        <w:tc>
          <w:tcPr>
            <w:shd w:fill="FFFFFF" w:val="clear"/>
          </w:tcPr>
          <w:p>
            <w:pPr>
              <w:spacing w:after="50" w:before="50"/>
              <w:jc w:val="left"/>
            </w:pPr>
            <w:r>
              <w:rPr>
                <w:sz w:val="20"/>
                <w:szCs w:val="20"/>
              </w:rPr>
              <w:t xml:space="preserve">Módulos de consumo y lineamientos del PUEAA en jurisdicción CAS</w:t>
            </w:r>
          </w:p>
        </w:tc>
        <w:tc>
          <w:tcPr>
            <w:shd w:fill="FFFFFF" w:val="clear"/>
          </w:tcPr>
          <w:p>
            <w:pPr>
              <w:spacing w:after="50" w:before="50"/>
              <w:jc w:val="left"/>
            </w:pPr>
            <w:r>
              <w:rPr>
                <w:sz w:val="20"/>
                <w:szCs w:val="20"/>
              </w:rPr>
              <w:t xml:space="preserve">Fija los módulos oficiales (avicultura, doméstico, desinfección) usados para calcular el caudal total de 4,219 L/s</w:t>
            </w:r>
          </w:p>
        </w:tc>
      </w:tr>
      <w:tr>
        <w:tc>
          <w:tcPr>
            <w:shd w:fill="F1F8F6" w:val="clear"/>
          </w:tcPr>
          <w:p>
            <w:pPr>
              <w:spacing w:after="50" w:before="50"/>
              <w:jc w:val="left"/>
            </w:pPr>
            <w:r>
              <w:rPr>
                <w:sz w:val="20"/>
                <w:szCs w:val="20"/>
              </w:rPr>
              <w:t xml:space="preserve">Decreto 1640 de 2012</w:t>
            </w:r>
          </w:p>
        </w:tc>
        <w:tc>
          <w:tcPr>
            <w:shd w:fill="F1F8F6" w:val="clear"/>
          </w:tcPr>
          <w:p>
            <w:pPr>
              <w:spacing w:after="50" w:before="50"/>
              <w:jc w:val="left"/>
            </w:pPr>
            <w:r>
              <w:rPr>
                <w:sz w:val="20"/>
                <w:szCs w:val="20"/>
              </w:rPr>
              <w:t xml:space="preserve">Planificación, ordenación y manejo de cuencas hidrográficas y acuíferos</w:t>
            </w:r>
          </w:p>
        </w:tc>
        <w:tc>
          <w:tcPr>
            <w:shd w:fill="F1F8F6" w:val="clear"/>
          </w:tcPr>
          <w:p>
            <w:pPr>
              <w:spacing w:after="50" w:before="50"/>
              <w:jc w:val="left"/>
            </w:pPr>
            <w:r>
              <w:rPr>
                <w:sz w:val="20"/>
                <w:szCs w:val="20"/>
              </w:rPr>
              <w:t xml:space="preserve">Vincula el proyecto a las determinaciones del POMCA de la cuenca del río Sogamoso en materia de uso y aprovechamiento hídrico</w:t>
            </w:r>
          </w:p>
        </w:tc>
      </w:tr>
      <w:tr>
        <w:tc>
          <w:tcPr>
            <w:shd w:fill="FFFFFF" w:val="clear"/>
          </w:tcPr>
          <w:p>
            <w:pPr>
              <w:spacing w:after="50" w:before="50"/>
              <w:jc w:val="left"/>
            </w:pPr>
            <w:r>
              <w:rPr>
                <w:sz w:val="20"/>
                <w:szCs w:val="20"/>
              </w:rPr>
              <w:t xml:space="preserve">Resolución 330 de 2017 (RAS)</w:t>
            </w:r>
          </w:p>
        </w:tc>
        <w:tc>
          <w:tcPr>
            <w:shd w:fill="FFFFFF" w:val="clear"/>
          </w:tcPr>
          <w:p>
            <w:pPr>
              <w:spacing w:after="50" w:before="50"/>
              <w:jc w:val="left"/>
            </w:pPr>
            <w:r>
              <w:rPr>
                <w:sz w:val="20"/>
                <w:szCs w:val="20"/>
              </w:rPr>
              <w:t xml:space="preserve">Reglamento técnico de sistemas de agua potable y saneamiento</w:t>
            </w:r>
          </w:p>
        </w:tc>
        <w:tc>
          <w:tcPr>
            <w:shd w:fill="FFFFFF" w:val="clear"/>
          </w:tcPr>
          <w:p>
            <w:pPr>
              <w:spacing w:after="50" w:before="50"/>
              <w:jc w:val="left"/>
            </w:pPr>
            <w:r>
              <w:rPr>
                <w:sz w:val="20"/>
                <w:szCs w:val="20"/>
              </w:rPr>
              <w:t xml:space="preserve">Rige el diseño y operación de la PTAP y del sistema de almacenamiento de 300 m³ instalados en la granja</w:t>
            </w:r>
          </w:p>
        </w:tc>
      </w:tr>
    </w:tbl>
    <w:p>
      <w:pPr>
        <w:spacing w:after="180" w:before="60"/>
        <w:jc w:val="left"/>
      </w:pPr>
      <w:r>
        <w:rPr>
          <w:i/>
          <w:iCs/>
          <w:color w:val="777777"/>
          <w:sz w:val="16"/>
          <w:szCs w:val="16"/>
        </w:rPr>
        <w:t xml:space="preserve">Fuente. Elaboración propia con base en la normatividad colombiana vigente aplicable al trámite de concesión de aguas subterráneas ante la CAS.</w:t>
      </w:r>
    </w:p>
    <w:p>
      <w:r>
        <w:br w:type="page"/>
      </w:r>
    </w:p>
    <w:p>
      <w:pPr>
        <w:pStyle w:val="Heading1"/>
        <w:spacing w:after="200" w:before="360"/>
      </w:pPr>
      <w:r>
        <w:rPr>
          <w:b/>
          <w:bCs/>
          <w:color w:val="1F2937"/>
          <w:sz w:val="28"/>
          <w:szCs w:val="28"/>
        </w:rPr>
        <w:t xml:space="preserve">4. INFORMACIÓN GENERAL DEL PROYECTO</w:t>
      </w:r>
    </w:p>
    <w:p>
      <w:pPr>
        <w:spacing w:after="90" w:before="220"/>
        <w:jc w:val="center"/>
      </w:pPr>
      <w:r>
        <w:rPr>
          <w:b/>
          <w:bCs/>
          <w:sz w:val="20"/>
          <w:szCs w:val="20"/>
        </w:rPr>
        <w:t xml:space="preserve">Tabla 3. Información general del proyecto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shd w:fill="4A9D8E" w:val="clear"/>
          </w:tcPr>
          <w:p>
            <w:pPr>
              <w:spacing w:after="50" w:before="50"/>
              <w:jc w:val="center"/>
            </w:pPr>
            <w:r>
              <w:rPr>
                <w:b/>
                <w:bCs/>
                <w:color w:val="FFFFFF"/>
                <w:sz w:val="20"/>
                <w:szCs w:val="20"/>
              </w:rPr>
              <w:t xml:space="preserve">Parámetro</w:t>
            </w:r>
          </w:p>
        </w:tc>
        <w:tc>
          <w:tcPr>
            <w:shd w:fill="4A9D8E" w:val="clear"/>
          </w:tcPr>
          <w:p>
            <w:pPr>
              <w:spacing w:after="50" w:before="50"/>
              <w:jc w:val="center"/>
            </w:pPr>
            <w:r>
              <w:rPr>
                <w:b/>
                <w:bCs/>
                <w:color w:val="FFFFFF"/>
                <w:sz w:val="20"/>
                <w:szCs w:val="20"/>
              </w:rPr>
              <w:t xml:space="preserve">Descripción</w:t>
            </w:r>
          </w:p>
        </w:tc>
      </w:tr>
      <w:tr>
        <w:tc>
          <w:tcPr>
            <w:shd w:fill="F1F8F6" w:val="clear"/>
          </w:tcPr>
          <w:p>
            <w:pPr>
              <w:spacing w:after="50" w:before="50"/>
              <w:jc w:val="left"/>
            </w:pPr>
            <w:r>
              <w:rPr>
                <w:sz w:val="20"/>
                <w:szCs w:val="20"/>
              </w:rPr>
              <w:t xml:space="preserve">Nombre del proyecto</w:t>
            </w:r>
          </w:p>
        </w:tc>
        <w:tc>
          <w:tcPr>
            <w:shd w:fill="F1F8F6" w:val="clear"/>
          </w:tcPr>
          <w:p>
            <w:pPr>
              <w:spacing w:after="50" w:before="50"/>
              <w:jc w:val="left"/>
            </w:pPr>
            <w:r>
              <w:rPr>
                <w:sz w:val="20"/>
                <w:szCs w:val="20"/>
              </w:rPr>
              <w:t xml:space="preserve">Granja Avícola Jamaica</w:t>
            </w:r>
          </w:p>
        </w:tc>
      </w:tr>
      <w:tr>
        <w:tc>
          <w:tcPr>
            <w:shd w:fill="FFFFFF" w:val="clear"/>
          </w:tcPr>
          <w:p>
            <w:pPr>
              <w:spacing w:after="50" w:before="50"/>
              <w:jc w:val="left"/>
            </w:pPr>
            <w:r>
              <w:rPr>
                <w:sz w:val="20"/>
                <w:szCs w:val="20"/>
              </w:rPr>
              <w:t xml:space="preserve">Titular / Razón social</w:t>
            </w:r>
          </w:p>
        </w:tc>
        <w:tc>
          <w:tcPr>
            <w:shd w:fill="FFFFFF" w:val="clear"/>
          </w:tcPr>
          <w:p>
            <w:pPr>
              <w:spacing w:after="50" w:before="50"/>
              <w:jc w:val="left"/>
            </w:pPr>
            <w:r>
              <w:rPr>
                <w:sz w:val="20"/>
                <w:szCs w:val="20"/>
              </w:rPr>
              <w:t xml:space="preserve">AVSA SA</w:t>
            </w:r>
          </w:p>
        </w:tc>
      </w:tr>
      <w:tr>
        <w:tc>
          <w:tcPr>
            <w:shd w:fill="F1F8F6" w:val="clear"/>
          </w:tcPr>
          <w:p>
            <w:pPr>
              <w:spacing w:after="50" w:before="50"/>
              <w:jc w:val="left"/>
            </w:pPr>
            <w:r>
              <w:rPr>
                <w:sz w:val="20"/>
                <w:szCs w:val="20"/>
              </w:rPr>
              <w:t xml:space="preserve">NIT</w:t>
            </w:r>
          </w:p>
        </w:tc>
        <w:tc>
          <w:tcPr>
            <w:shd w:fill="F1F8F6" w:val="clear"/>
          </w:tcPr>
          <w:p>
            <w:pPr>
              <w:spacing w:after="50" w:before="50"/>
              <w:jc w:val="left"/>
            </w:pPr>
            <w:r>
              <w:rPr>
                <w:sz w:val="20"/>
                <w:szCs w:val="20"/>
              </w:rPr>
              <w:t xml:space="preserve">8902018814</w:t>
            </w:r>
          </w:p>
        </w:tc>
      </w:tr>
      <w:tr>
        <w:tc>
          <w:tcPr>
            <w:shd w:fill="FFFFFF" w:val="clear"/>
          </w:tcPr>
          <w:p>
            <w:pPr>
              <w:spacing w:after="50" w:before="50"/>
              <w:jc w:val="left"/>
            </w:pPr>
            <w:r>
              <w:rPr>
                <w:sz w:val="20"/>
                <w:szCs w:val="20"/>
              </w:rPr>
              <w:t xml:space="preserve">Representante legal</w:t>
            </w:r>
          </w:p>
        </w:tc>
        <w:tc>
          <w:tcPr>
            <w:shd w:fill="FFFFFF" w:val="clear"/>
          </w:tcPr>
          <w:p>
            <w:pPr>
              <w:spacing w:after="50" w:before="50"/>
              <w:jc w:val="left"/>
            </w:pPr>
            <w:r>
              <w:rPr>
                <w:sz w:val="20"/>
                <w:szCs w:val="20"/>
              </w:rPr>
              <w:t xml:space="preserve">MARIA ISABEL MONTAÑEZ CAMARGO</w:t>
            </w:r>
          </w:p>
        </w:tc>
      </w:tr>
      <w:tr>
        <w:tc>
          <w:tcPr>
            <w:shd w:fill="F1F8F6" w:val="clear"/>
          </w:tcPr>
          <w:p>
            <w:pPr>
              <w:spacing w:after="50" w:before="50"/>
              <w:jc w:val="left"/>
            </w:pPr>
            <w:r>
              <w:rPr>
                <w:sz w:val="20"/>
                <w:szCs w:val="20"/>
              </w:rPr>
              <w:t xml:space="preserve">Tipo de trámite</w:t>
            </w:r>
          </w:p>
        </w:tc>
        <w:tc>
          <w:tcPr>
            <w:shd w:fill="F1F8F6" w:val="clear"/>
          </w:tcPr>
          <w:p>
            <w:pPr>
              <w:spacing w:after="50" w:before="50"/>
              <w:jc w:val="left"/>
            </w:pPr>
            <w:r>
              <w:rPr>
                <w:sz w:val="20"/>
                <w:szCs w:val="20"/>
              </w:rPr>
              <w:t xml:space="preserve">Concesión de aguas subterráneas</w:t>
            </w:r>
          </w:p>
        </w:tc>
      </w:tr>
      <w:tr>
        <w:tc>
          <w:tcPr>
            <w:shd w:fill="FFFFFF" w:val="clear"/>
          </w:tcPr>
          <w:p>
            <w:pPr>
              <w:spacing w:after="50" w:before="50"/>
              <w:jc w:val="left"/>
            </w:pPr>
            <w:r>
              <w:rPr>
                <w:sz w:val="20"/>
                <w:szCs w:val="20"/>
              </w:rPr>
              <w:t xml:space="preserve">Localización</w:t>
            </w:r>
          </w:p>
        </w:tc>
        <w:tc>
          <w:tcPr>
            <w:shd w:fill="FFFFFF" w:val="clear"/>
          </w:tcPr>
          <w:p>
            <w:pPr>
              <w:spacing w:after="50" w:before="50"/>
              <w:jc w:val="left"/>
            </w:pPr>
            <w:r>
              <w:rPr>
                <w:sz w:val="20"/>
                <w:szCs w:val="20"/>
              </w:rPr>
              <w:t xml:space="preserve">Vereda Aguas Claras, municipio de Sabana de Torres, departamento de Santander</w:t>
            </w:r>
          </w:p>
        </w:tc>
      </w:tr>
      <w:tr>
        <w:tc>
          <w:tcPr>
            <w:shd w:fill="F1F8F6" w:val="clear"/>
          </w:tcPr>
          <w:p>
            <w:pPr>
              <w:spacing w:after="50" w:before="50"/>
              <w:jc w:val="left"/>
            </w:pPr>
            <w:r>
              <w:rPr>
                <w:sz w:val="20"/>
                <w:szCs w:val="20"/>
              </w:rPr>
              <w:t xml:space="preserve">Coordenadas del punto de captación</w:t>
            </w:r>
          </w:p>
        </w:tc>
        <w:tc>
          <w:tcPr>
            <w:shd w:fill="F1F8F6" w:val="clear"/>
          </w:tcPr>
          <w:p>
            <w:pPr>
              <w:spacing w:after="50" w:before="50"/>
              <w:jc w:val="left"/>
            </w:pPr>
            <w:r>
              <w:rPr>
                <w:sz w:val="20"/>
                <w:szCs w:val="20"/>
              </w:rPr>
              <w:t xml:space="preserve">Latitud 7,275152, longitud -73,558266</w:t>
            </w:r>
          </w:p>
        </w:tc>
      </w:tr>
      <w:tr>
        <w:tc>
          <w:tcPr>
            <w:shd w:fill="FFFFFF" w:val="clear"/>
          </w:tcPr>
          <w:p>
            <w:pPr>
              <w:spacing w:after="50" w:before="50"/>
              <w:jc w:val="left"/>
            </w:pPr>
            <w:r>
              <w:rPr>
                <w:sz w:val="20"/>
                <w:szCs w:val="20"/>
              </w:rPr>
              <w:t xml:space="preserve">Tipo de fuente hídrica</w:t>
            </w:r>
          </w:p>
        </w:tc>
        <w:tc>
          <w:tcPr>
            <w:shd w:fill="FFFFFF" w:val="clear"/>
          </w:tcPr>
          <w:p>
            <w:pPr>
              <w:spacing w:after="50" w:before="50"/>
              <w:jc w:val="left"/>
            </w:pPr>
            <w:r>
              <w:rPr>
                <w:sz w:val="20"/>
                <w:szCs w:val="20"/>
              </w:rPr>
              <w:t xml:space="preserve">Pozo profundo</w:t>
            </w:r>
          </w:p>
        </w:tc>
      </w:tr>
      <w:tr>
        <w:tc>
          <w:tcPr>
            <w:shd w:fill="F1F8F6" w:val="clear"/>
          </w:tcPr>
          <w:p>
            <w:pPr>
              <w:spacing w:after="50" w:before="50"/>
              <w:jc w:val="left"/>
            </w:pPr>
            <w:r>
              <w:rPr>
                <w:sz w:val="20"/>
                <w:szCs w:val="20"/>
              </w:rPr>
              <w:t xml:space="preserve">Categoría de uso principal</w:t>
            </w:r>
          </w:p>
        </w:tc>
        <w:tc>
          <w:tcPr>
            <w:shd w:fill="F1F8F6" w:val="clear"/>
          </w:tcPr>
          <w:p>
            <w:pPr>
              <w:spacing w:after="50" w:before="50"/>
              <w:jc w:val="left"/>
            </w:pPr>
            <w:r>
              <w:rPr>
                <w:sz w:val="20"/>
                <w:szCs w:val="20"/>
              </w:rPr>
              <w:t xml:space="preserve">Pecuario (avicultura)</w:t>
            </w:r>
          </w:p>
        </w:tc>
      </w:tr>
      <w:tr>
        <w:tc>
          <w:tcPr>
            <w:shd w:fill="FFFFFF" w:val="clear"/>
          </w:tcPr>
          <w:p>
            <w:pPr>
              <w:spacing w:after="50" w:before="50"/>
              <w:jc w:val="left"/>
            </w:pPr>
            <w:r>
              <w:rPr>
                <w:sz w:val="20"/>
                <w:szCs w:val="20"/>
              </w:rPr>
              <w:t xml:space="preserve">Caudal total a solicitar</w:t>
            </w:r>
          </w:p>
        </w:tc>
        <w:tc>
          <w:tcPr>
            <w:shd w:fill="FFFFFF" w:val="clear"/>
          </w:tcPr>
          <w:p>
            <w:pPr>
              <w:spacing w:after="50" w:before="50"/>
              <w:jc w:val="left"/>
            </w:pPr>
            <w:r>
              <w:rPr>
                <w:sz w:val="20"/>
                <w:szCs w:val="20"/>
              </w:rPr>
              <w:t xml:space="preserve">4,219 L/s</w:t>
            </w:r>
          </w:p>
        </w:tc>
      </w:tr>
      <w:tr>
        <w:tc>
          <w:tcPr>
            <w:shd w:fill="F1F8F6" w:val="clear"/>
          </w:tcPr>
          <w:p>
            <w:pPr>
              <w:spacing w:after="50" w:before="50"/>
              <w:jc w:val="left"/>
            </w:pPr>
            <w:r>
              <w:rPr>
                <w:sz w:val="20"/>
                <w:szCs w:val="20"/>
              </w:rPr>
              <w:t xml:space="preserve">Usos del recurso</w:t>
            </w:r>
          </w:p>
        </w:tc>
        <w:tc>
          <w:tcPr>
            <w:shd w:fill="F1F8F6" w:val="clear"/>
          </w:tcPr>
          <w:p>
            <w:pPr>
              <w:spacing w:after="50" w:before="50"/>
              <w:jc w:val="left"/>
            </w:pPr>
            <w:r>
              <w:rPr>
                <w:sz w:val="20"/>
                <w:szCs w:val="20"/>
              </w:rPr>
              <w:t xml:space="preserve">Pecuario (avicultura), consumo humano, desinfección de personal y vehículos</w:t>
            </w:r>
          </w:p>
        </w:tc>
      </w:tr>
    </w:tbl>
    <w:p>
      <w:pPr>
        <w:spacing w:after="180" w:before="60"/>
        <w:jc w:val="left"/>
      </w:pPr>
      <w:r>
        <w:rPr>
          <w:i/>
          <w:iCs/>
          <w:color w:val="777777"/>
          <w:sz w:val="16"/>
          <w:szCs w:val="16"/>
        </w:rPr>
        <w:t xml:space="preserve">Fuente. Expediente de concesión de aguas — AVSA SA, 2024.</w:t>
      </w:r>
    </w:p>
    <w:p>
      <w:pPr>
        <w:pStyle w:val="Heading2"/>
        <w:spacing w:after="140" w:before="240"/>
      </w:pPr>
      <w:r>
        <w:rPr>
          <w:b/>
          <w:bCs/>
          <w:color w:val="4A9D8E"/>
          <w:sz w:val="24"/>
          <w:szCs w:val="24"/>
        </w:rPr>
        <w:t xml:space="preserve">4.1. Identificación del titular y del predio</w:t>
      </w:r>
    </w:p>
    <w:p>
      <w:pPr>
        <w:spacing w:after="160" w:line="320"/>
        <w:jc w:val="both"/>
      </w:pPr>
      <w:r>
        <w:rPr>
          <w:sz w:val="22"/>
          <w:szCs w:val="22"/>
        </w:rPr>
        <w:t xml:space="preserve">AVSA SA, identificada con NIT 8902018814, es la titular de la solicitud de concesión de aguas subterráneas que se tramita ante la Corporación Autónoma Regional de Santander (CAS). El proyecto se desarrolla en la Granja Avícola Jamaica, ubicada en la vereda Aguas Claras, municipio de Sabana de Torres, departamento de Santander. El punto de captación del pozo profundo se localiza en latitud 7,275152, longitud -73,558266, dentro del predio donde opera la granja. La representación legal de la empresa recae en MARIA ISABEL MONTAÑEZ CAMARGO, quien actúa en calidad de representante legal ante las autoridades ambientales competentes.</w:t>
      </w:r>
    </w:p>
    <w:p>
      <w:pPr>
        <w:pStyle w:val="Heading2"/>
        <w:spacing w:after="140" w:before="240"/>
      </w:pPr>
      <w:r>
        <w:rPr>
          <w:b/>
          <w:bCs/>
          <w:color w:val="4A9D8E"/>
          <w:sz w:val="24"/>
          <w:szCs w:val="24"/>
        </w:rPr>
        <w:t xml:space="preserve">4.2. Actividad económica y descripción del proyecto</w:t>
      </w:r>
    </w:p>
    <w:p>
      <w:pPr>
        <w:spacing w:after="160" w:line="320"/>
        <w:jc w:val="both"/>
      </w:pPr>
      <w:r>
        <w:rPr>
          <w:sz w:val="22"/>
          <w:szCs w:val="22"/>
        </w:rPr>
        <w:t xml:space="preserve">La Granja Avícola Jamaica desarrolla una actividad económica de producción avícola a escala industrial, categorizada por la CAS bajo uso pecuario del recurso hídrico. Conforme a lo registrado en el levantamiento de campo, la granja se estructura en dos núcleos o zonas productivas claramente diferenciadas. El Núcleo 1 se encuentra completamente operativo y está conformado por 6 galpones, cada uno con capacidad para 62.000 aves, para un total de 372.000 aves alojadas en esta zona. El Núcleo 2 dispone actualmente de 2 galpones operativos, con capacidad individual de 92.000 aves, equivalente a 184.000 aves en operación, y 5 galpones adicionales en etapa constructiva. La capacidad total del proyecto, considerando la infraestructura plenamente operativa y la proyectada, corresponde a 1.016.000 aves, cifra sobre la cual se calcula la demanda hídrica para el uso pecuario.</w:t>
      </w:r>
    </w:p>
    <w:p>
      <w:pPr>
        <w:spacing w:after="160" w:line="320"/>
        <w:jc w:val="both"/>
      </w:pPr>
      <w:r>
        <w:rPr>
          <w:sz w:val="22"/>
          <w:szCs w:val="22"/>
        </w:rPr>
        <w:t xml:space="preserve">El municipio de Sabana de Torres reconoce la actividad avícola como uno de los renglones productivos de mayor relevancia en su estructura económica local. Así lo evidencia la información contenida en la ficha de caracterización del Departamento Nacional de Planeación (DNP), que identifica las granjas avícolas entre las actividades económicas predominantes del territorio, lo que da cuenta de la aceptación social y la articulación del proyecto con la vocación productiva de la región. Este contexto es consistente con la naturaleza de la solicitud de concesión y con la escala de operación de la Granja Avícola Jamaica.</w:t>
      </w:r>
    </w:p>
    <w:p>
      <w:pPr>
        <w:pStyle w:val="Heading2"/>
        <w:spacing w:after="140" w:before="240"/>
      </w:pPr>
      <w:r>
        <w:rPr>
          <w:b/>
          <w:bCs/>
          <w:color w:val="4A9D8E"/>
          <w:sz w:val="24"/>
          <w:szCs w:val="24"/>
        </w:rPr>
        <w:t xml:space="preserve">4.3. Infraestructura hídrica del proyecto</w:t>
      </w:r>
    </w:p>
    <w:p>
      <w:pPr>
        <w:spacing w:after="160" w:line="320"/>
        <w:jc w:val="both"/>
      </w:pPr>
      <w:r>
        <w:rPr>
          <w:sz w:val="22"/>
          <w:szCs w:val="22"/>
        </w:rPr>
        <w:t xml:space="preserve">El abastecimiento de agua de la granja se sustenta en un pozo profundo subterráneo como fuente principal, cuya localización coincide con las coordenadas del punto de captación registradas en el levantamiento de campo. Como fuente hídrica alterna, el predio cuenta con un reservorio de recolección de aguas lluvias, ubicado en latitud 7,274473, longitud -73,558548, el cual complementa la disponibilidad hídrica en períodos de alta demanda o contingencia. Ambas fuentes cuentan con medidores de caudal instalados en sus respectivos puntos de captación, lo que permite el registro y seguimiento continuo del volumen extraído, en concordancia con las obligaciones de medición y reporte que establecen los permisos de concesión.</w:t>
      </w:r>
    </w:p>
    <w:p>
      <w:pPr>
        <w:spacing w:after="160" w:line="320"/>
        <w:jc w:val="both"/>
      </w:pPr>
      <w:r>
        <w:rPr>
          <w:sz w:val="22"/>
          <w:szCs w:val="22"/>
        </w:rPr>
        <w:t xml:space="preserve">La conducción del agua desde el pozo profundo hacia los puntos de uso se realiza mediante tubería PVC de 4 pulgadas de diámetro, red que distribuye el recurso a los diferentes componentes de la infraestructura productiva y sanitaria. El sistema de almacenamiento está compuesto por 3 tanques de agua tratada, cada uno con capacidad de 100 metros cúbicos, para un volumen total almacenado de 300 metros cúbicos. Este volumen de reserva garantiza la continuidad del suministro ante eventuales fluctuaciones en la operación del pozo y soporta los picos de consumo diario propios de la actividad avícola. El proyecto cuenta, además, con una planta de tratamiento de agua potable (PTAP), evidenciada en el registro fotográfico del levantamiento de campo, que asegura la calidad del recurso previo a su distribución para los distintos usos.</w:t>
      </w:r>
    </w:p>
    <w:p>
      <w:pPr>
        <w:pStyle w:val="Heading2"/>
        <w:spacing w:after="140" w:before="240"/>
      </w:pPr>
      <w:r>
        <w:rPr>
          <w:b/>
          <w:bCs/>
          <w:color w:val="4A9D8E"/>
          <w:sz w:val="24"/>
          <w:szCs w:val="24"/>
        </w:rPr>
        <w:t xml:space="preserve">4.4. Usos del recurso hídrico y personal vinculado</w:t>
      </w:r>
    </w:p>
    <w:p>
      <w:pPr>
        <w:spacing w:after="160" w:line="320"/>
        <w:jc w:val="both"/>
      </w:pPr>
      <w:r>
        <w:rPr>
          <w:sz w:val="22"/>
          <w:szCs w:val="22"/>
        </w:rPr>
        <w:t xml:space="preserve">El agua captada del pozo profundo se destina a cuatro usos específicos, cada uno con su respectivo caudal calculado conforme a los módulos de consumo adoptados por la CAS. El uso pecuario para avicultura constituye el uso dominante, con un caudal de 4,064 L/s, determinado mediante el módulo oficial de 0,000004 L/s por ave sobre el total de 1.016.000 aves. El uso doméstico para consumo humano del personal vinculado a la operación —34 personas permanentes y transitorias— demanda 0,068 L/s, aplicando el módulo de 0,002 L/s por persona. Los usos de desinfección se desagregan en dos componentes: el túnel de desinfección de personal, con un consumo aproximado de 150 litros por persona para las 34 personas registradas, equivalente a 0,059 L/s; y el arco de desinfección vehicular, con un consumo de 350 litros por vehículo y un flujo promedio de 9 vehículos diarios, correspondiente a 0,028 L/s.</w:t>
      </w:r>
    </w:p>
    <w:p>
      <w:pPr>
        <w:spacing w:after="90" w:before="220"/>
        <w:jc w:val="center"/>
      </w:pPr>
      <w:r>
        <w:rPr>
          <w:b/>
          <w:bCs/>
          <w:sz w:val="20"/>
          <w:szCs w:val="20"/>
        </w:rPr>
        <w:t xml:space="preserve">Tabla 4. Desglose de usos del recurso hídrico y caudales solicitados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shd w:fill="4A9D8E" w:val="clear"/>
          </w:tcPr>
          <w:p>
            <w:pPr>
              <w:spacing w:after="50" w:before="50"/>
              <w:jc w:val="center"/>
            </w:pPr>
            <w:r>
              <w:rPr>
                <w:b/>
                <w:bCs/>
                <w:color w:val="FFFFFF"/>
                <w:sz w:val="20"/>
                <w:szCs w:val="20"/>
              </w:rPr>
              <w:t xml:space="preserve">Uso</w:t>
            </w:r>
          </w:p>
        </w:tc>
        <w:tc>
          <w:tcPr>
            <w:shd w:fill="4A9D8E" w:val="clear"/>
          </w:tcPr>
          <w:p>
            <w:pPr>
              <w:spacing w:after="50" w:before="50"/>
              <w:jc w:val="center"/>
            </w:pPr>
            <w:r>
              <w:rPr>
                <w:b/>
                <w:bCs/>
                <w:color w:val="FFFFFF"/>
                <w:sz w:val="20"/>
                <w:szCs w:val="20"/>
              </w:rPr>
              <w:t xml:space="preserve">Descripción</w:t>
            </w:r>
          </w:p>
        </w:tc>
        <w:tc>
          <w:tcPr>
            <w:shd w:fill="4A9D8E" w:val="clear"/>
          </w:tcPr>
          <w:p>
            <w:pPr>
              <w:spacing w:after="50" w:before="50"/>
              <w:jc w:val="center"/>
            </w:pPr>
            <w:r>
              <w:rPr>
                <w:b/>
                <w:bCs/>
                <w:color w:val="FFFFFF"/>
                <w:sz w:val="20"/>
                <w:szCs w:val="20"/>
              </w:rPr>
              <w:t xml:space="preserve">Unidad base</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Módulo (L/s)</w:t>
            </w:r>
          </w:p>
        </w:tc>
        <w:tc>
          <w:tcPr>
            <w:shd w:fill="4A9D8E" w:val="clear"/>
          </w:tcPr>
          <w:p>
            <w:pPr>
              <w:spacing w:after="50" w:before="50"/>
              <w:jc w:val="center"/>
            </w:pPr>
            <w:r>
              <w:rPr>
                <w:b/>
                <w:bCs/>
                <w:color w:val="FFFFFF"/>
                <w:sz w:val="20"/>
                <w:szCs w:val="20"/>
              </w:rPr>
              <w:t xml:space="preserve">Caudal (L/s)</w:t>
            </w:r>
          </w:p>
        </w:tc>
      </w:tr>
      <w:tr>
        <w:tc>
          <w:tcPr>
            <w:shd w:fill="F1F8F6" w:val="clear"/>
          </w:tcPr>
          <w:p>
            <w:pPr>
              <w:spacing w:after="50" w:before="50"/>
              <w:jc w:val="left"/>
            </w:pPr>
            <w:r>
              <w:rPr>
                <w:sz w:val="20"/>
                <w:szCs w:val="20"/>
              </w:rPr>
              <w:t xml:space="preserve">Pecuario — avicultura</w:t>
            </w:r>
          </w:p>
        </w:tc>
        <w:tc>
          <w:tcPr>
            <w:shd w:fill="F1F8F6" w:val="clear"/>
          </w:tcPr>
          <w:p>
            <w:pPr>
              <w:spacing w:after="50" w:before="50"/>
              <w:jc w:val="left"/>
            </w:pPr>
            <w:r>
              <w:rPr>
                <w:sz w:val="20"/>
                <w:szCs w:val="20"/>
              </w:rPr>
              <w:t xml:space="preserve">Abrevadero y manejo sanitario de aves</w:t>
            </w:r>
          </w:p>
        </w:tc>
        <w:tc>
          <w:tcPr>
            <w:shd w:fill="F1F8F6" w:val="clear"/>
          </w:tcPr>
          <w:p>
            <w:pPr>
              <w:spacing w:after="50" w:before="50"/>
              <w:jc w:val="left"/>
            </w:pPr>
            <w:r>
              <w:rPr>
                <w:sz w:val="20"/>
                <w:szCs w:val="20"/>
              </w:rPr>
              <w:t xml:space="preserve">Aves</w:t>
            </w:r>
          </w:p>
        </w:tc>
        <w:tc>
          <w:tcPr>
            <w:shd w:fill="F1F8F6" w:val="clear"/>
          </w:tcPr>
          <w:p>
            <w:pPr>
              <w:spacing w:after="50" w:before="50"/>
              <w:jc w:val="left"/>
            </w:pPr>
            <w:r>
              <w:rPr>
                <w:sz w:val="20"/>
                <w:szCs w:val="20"/>
              </w:rPr>
              <w:t xml:space="preserve">1.016.000</w:t>
            </w:r>
          </w:p>
        </w:tc>
        <w:tc>
          <w:tcPr>
            <w:shd w:fill="F1F8F6" w:val="clear"/>
          </w:tcPr>
          <w:p>
            <w:pPr>
              <w:spacing w:after="50" w:before="50"/>
              <w:jc w:val="left"/>
            </w:pPr>
            <w:r>
              <w:rPr>
                <w:sz w:val="20"/>
                <w:szCs w:val="20"/>
              </w:rPr>
              <w:t xml:space="preserve">0,000004</w:t>
            </w:r>
          </w:p>
        </w:tc>
        <w:tc>
          <w:tcPr>
            <w:shd w:fill="F1F8F6" w:val="clear"/>
          </w:tcPr>
          <w:p>
            <w:pPr>
              <w:spacing w:after="50" w:before="50"/>
              <w:jc w:val="left"/>
            </w:pPr>
            <w:r>
              <w:rPr>
                <w:sz w:val="20"/>
                <w:szCs w:val="20"/>
              </w:rPr>
              <w:t xml:space="preserve">4,064</w:t>
            </w:r>
          </w:p>
        </w:tc>
      </w:tr>
      <w:tr>
        <w:tc>
          <w:tcPr>
            <w:shd w:fill="FFFFFF" w:val="clear"/>
          </w:tcPr>
          <w:p>
            <w:pPr>
              <w:spacing w:after="50" w:before="50"/>
              <w:jc w:val="left"/>
            </w:pPr>
            <w:r>
              <w:rPr>
                <w:sz w:val="20"/>
                <w:szCs w:val="20"/>
              </w:rPr>
              <w:t xml:space="preserve">Doméstico — consumo humano</w:t>
            </w:r>
          </w:p>
        </w:tc>
        <w:tc>
          <w:tcPr>
            <w:shd w:fill="FFFFFF" w:val="clear"/>
          </w:tcPr>
          <w:p>
            <w:pPr>
              <w:spacing w:after="50" w:before="50"/>
              <w:jc w:val="left"/>
            </w:pPr>
            <w:r>
              <w:rPr>
                <w:sz w:val="20"/>
                <w:szCs w:val="20"/>
              </w:rPr>
              <w:t xml:space="preserve">Personal permanente y transitorio</w:t>
            </w:r>
          </w:p>
        </w:tc>
        <w:tc>
          <w:tcPr>
            <w:shd w:fill="FFFFFF" w:val="clear"/>
          </w:tcPr>
          <w:p>
            <w:pPr>
              <w:spacing w:after="50" w:before="50"/>
              <w:jc w:val="left"/>
            </w:pPr>
            <w:r>
              <w:rPr>
                <w:sz w:val="20"/>
                <w:szCs w:val="20"/>
              </w:rPr>
              <w:t xml:space="preserve">Personas</w:t>
            </w:r>
          </w:p>
        </w:tc>
        <w:tc>
          <w:tcPr>
            <w:shd w:fill="FFFFFF" w:val="clear"/>
          </w:tcPr>
          <w:p>
            <w:pPr>
              <w:spacing w:after="50" w:before="50"/>
              <w:jc w:val="left"/>
            </w:pPr>
            <w:r>
              <w:rPr>
                <w:sz w:val="20"/>
                <w:szCs w:val="20"/>
              </w:rPr>
              <w:t xml:space="preserve">34</w:t>
            </w:r>
          </w:p>
        </w:tc>
        <w:tc>
          <w:tcPr>
            <w:shd w:fill="FFFFFF" w:val="clear"/>
          </w:tcPr>
          <w:p>
            <w:pPr>
              <w:spacing w:after="50" w:before="50"/>
              <w:jc w:val="left"/>
            </w:pPr>
            <w:r>
              <w:rPr>
                <w:sz w:val="20"/>
                <w:szCs w:val="20"/>
              </w:rPr>
              <w:t xml:space="preserve">0,002</w:t>
            </w:r>
          </w:p>
        </w:tc>
        <w:tc>
          <w:tcPr>
            <w:shd w:fill="FFFFFF" w:val="clear"/>
          </w:tcPr>
          <w:p>
            <w:pPr>
              <w:spacing w:after="50" w:before="50"/>
              <w:jc w:val="left"/>
            </w:pPr>
            <w:r>
              <w:rPr>
                <w:sz w:val="20"/>
                <w:szCs w:val="20"/>
              </w:rPr>
              <w:t xml:space="preserve">0,068</w:t>
            </w:r>
          </w:p>
        </w:tc>
      </w:tr>
      <w:tr>
        <w:tc>
          <w:tcPr>
            <w:shd w:fill="F1F8F6" w:val="clear"/>
          </w:tcPr>
          <w:p>
            <w:pPr>
              <w:spacing w:after="50" w:before="50"/>
              <w:jc w:val="left"/>
            </w:pPr>
            <w:r>
              <w:rPr>
                <w:sz w:val="20"/>
                <w:szCs w:val="20"/>
              </w:rPr>
              <w:t xml:space="preserve">Otros — túnel de desinfección</w:t>
            </w:r>
          </w:p>
        </w:tc>
        <w:tc>
          <w:tcPr>
            <w:shd w:fill="F1F8F6" w:val="clear"/>
          </w:tcPr>
          <w:p>
            <w:pPr>
              <w:spacing w:after="50" w:before="50"/>
              <w:jc w:val="left"/>
            </w:pPr>
            <w:r>
              <w:rPr>
                <w:sz w:val="20"/>
                <w:szCs w:val="20"/>
              </w:rPr>
              <w:t xml:space="preserve">150 L/persona para 34 personas</w:t>
            </w:r>
          </w:p>
        </w:tc>
        <w:tc>
          <w:tcPr>
            <w:shd w:fill="F1F8F6" w:val="clear"/>
          </w:tcPr>
          <w:p>
            <w:pPr>
              <w:spacing w:after="50" w:before="50"/>
              <w:jc w:val="left"/>
            </w:pPr>
            <w:r>
              <w:rPr>
                <w:sz w:val="20"/>
                <w:szCs w:val="20"/>
              </w:rPr>
              <w:t xml:space="preserve">Personas</w:t>
            </w:r>
          </w:p>
        </w:tc>
        <w:tc>
          <w:tcPr>
            <w:shd w:fill="F1F8F6" w:val="clear"/>
          </w:tcPr>
          <w:p>
            <w:pPr>
              <w:spacing w:after="50" w:before="50"/>
              <w:jc w:val="left"/>
            </w:pPr>
            <w:r>
              <w:rPr>
                <w:sz w:val="20"/>
                <w:szCs w:val="20"/>
              </w:rPr>
              <w:t xml:space="preserve">34</w:t>
            </w:r>
          </w:p>
        </w:tc>
        <w:tc>
          <w:tcPr>
            <w:shd w:fill="F1F8F6" w:val="clear"/>
          </w:tcPr>
          <w:p>
            <w:pPr>
              <w:spacing w:after="50" w:before="50"/>
              <w:jc w:val="left"/>
            </w:pPr>
            <w:r>
              <w:rPr>
                <w:sz w:val="20"/>
                <w:szCs w:val="20"/>
              </w:rPr>
              <w:t xml:space="preserve">Caudal manual</w:t>
            </w:r>
          </w:p>
        </w:tc>
        <w:tc>
          <w:tcPr>
            <w:shd w:fill="F1F8F6" w:val="clear"/>
          </w:tcPr>
          <w:p>
            <w:pPr>
              <w:spacing w:after="50" w:before="50"/>
              <w:jc w:val="left"/>
            </w:pPr>
            <w:r>
              <w:rPr>
                <w:sz w:val="20"/>
                <w:szCs w:val="20"/>
              </w:rPr>
              <w:t xml:space="preserve">0,059</w:t>
            </w:r>
          </w:p>
        </w:tc>
      </w:tr>
      <w:tr>
        <w:tc>
          <w:tcPr>
            <w:shd w:fill="FFFFFF" w:val="clear"/>
          </w:tcPr>
          <w:p>
            <w:pPr>
              <w:spacing w:after="50" w:before="50"/>
              <w:jc w:val="left"/>
            </w:pPr>
            <w:r>
              <w:rPr>
                <w:sz w:val="20"/>
                <w:szCs w:val="20"/>
              </w:rPr>
              <w:t xml:space="preserve">Otros — arco de desinfección vehicular</w:t>
            </w:r>
          </w:p>
        </w:tc>
        <w:tc>
          <w:tcPr>
            <w:shd w:fill="FFFFFF" w:val="clear"/>
          </w:tcPr>
          <w:p>
            <w:pPr>
              <w:spacing w:after="50" w:before="50"/>
              <w:jc w:val="left"/>
            </w:pPr>
            <w:r>
              <w:rPr>
                <w:sz w:val="20"/>
                <w:szCs w:val="20"/>
              </w:rPr>
              <w:t xml:space="preserve">350 L/vehículo; 9 vehículos/día promedio</w:t>
            </w:r>
          </w:p>
        </w:tc>
        <w:tc>
          <w:tcPr>
            <w:shd w:fill="FFFFFF" w:val="clear"/>
          </w:tcPr>
          <w:p>
            <w:pPr>
              <w:spacing w:after="50" w:before="50"/>
              <w:jc w:val="left"/>
            </w:pPr>
            <w:r>
              <w:rPr>
                <w:sz w:val="20"/>
                <w:szCs w:val="20"/>
              </w:rPr>
              <w:t xml:space="preserve">Vehículos/día</w:t>
            </w:r>
          </w:p>
        </w:tc>
        <w:tc>
          <w:tcPr>
            <w:shd w:fill="FFFFFF" w:val="clear"/>
          </w:tcPr>
          <w:p>
            <w:pPr>
              <w:spacing w:after="50" w:before="50"/>
              <w:jc w:val="left"/>
            </w:pPr>
            <w:r>
              <w:rPr>
                <w:sz w:val="20"/>
                <w:szCs w:val="20"/>
              </w:rPr>
              <w:t xml:space="preserve">9</w:t>
            </w:r>
          </w:p>
        </w:tc>
        <w:tc>
          <w:tcPr>
            <w:shd w:fill="FFFFFF" w:val="clear"/>
          </w:tcPr>
          <w:p>
            <w:pPr>
              <w:spacing w:after="50" w:before="50"/>
              <w:jc w:val="left"/>
            </w:pPr>
            <w:r>
              <w:rPr>
                <w:sz w:val="20"/>
                <w:szCs w:val="20"/>
              </w:rPr>
              <w:t xml:space="preserve">Caudal manual</w:t>
            </w:r>
          </w:p>
        </w:tc>
        <w:tc>
          <w:tcPr>
            <w:shd w:fill="FFFFFF" w:val="clear"/>
          </w:tcPr>
          <w:p>
            <w:pPr>
              <w:spacing w:after="50" w:before="50"/>
              <w:jc w:val="left"/>
            </w:pPr>
            <w:r>
              <w:rPr>
                <w:sz w:val="20"/>
                <w:szCs w:val="20"/>
              </w:rPr>
              <w:t xml:space="preserve">0,028</w:t>
            </w:r>
          </w:p>
        </w:tc>
      </w:tr>
      <w:tr>
        <w:tc>
          <w:tcPr>
            <w:shd w:fill="F1F8F6" w:val="clear"/>
          </w:tcPr>
          <w:p>
            <w:pPr>
              <w:spacing w:after="50" w:before="50"/>
              <w:jc w:val="left"/>
            </w:pPr>
            <w:r>
              <w:rPr>
                <w:sz w:val="20"/>
                <w:szCs w:val="20"/>
              </w:rPr>
              <w:t xml:space="preserve">TOTAL</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4,219</w:t>
            </w:r>
          </w:p>
        </w:tc>
      </w:tr>
    </w:tbl>
    <w:p>
      <w:pPr>
        <w:spacing w:after="180" w:before="60"/>
        <w:jc w:val="left"/>
      </w:pPr>
      <w:r>
        <w:rPr>
          <w:i/>
          <w:iCs/>
          <w:color w:val="777777"/>
          <w:sz w:val="16"/>
          <w:szCs w:val="16"/>
        </w:rPr>
        <w:t xml:space="preserve">Fuente. Módulos de consumo CAS; caudales manuales calculados por el solicitante. Expediente concesión AVSA SA, 2024.</w:t>
      </w:r>
    </w:p>
    <w:p>
      <w:pPr>
        <w:spacing w:after="160" w:line="320"/>
        <w:jc w:val="both"/>
      </w:pPr>
      <w:r>
        <w:rPr>
          <w:sz w:val="22"/>
          <w:szCs w:val="22"/>
        </w:rPr>
        <w:t xml:space="preserve">El caudal total solicitado asciende a 4,219 L/s, valor que resulta de la sumatoria de los cuatro usos descritos. Este caudal representa la demanda hídrica máxima del proyecto en condiciones de plena operación de los dos núcleos productivos, incluyendo la capacidad instalada de los galpones en construcción del Núcleo 2. La solicitud de concesión se formula sobre este escenario de operación total, de manera que el permiso otorgado cubra la demanda futura sin necesidad de trámites de modificación en el corto plazo, conforme a los principios de planificación del recurso hídrico que rigen los instrumentos de gestión ambiental en Colombia.</w:t>
      </w:r>
    </w:p>
    <w:p>
      <w:r>
        <w:br w:type="page"/>
      </w:r>
    </w:p>
    <w:p>
      <w:pPr>
        <w:pStyle w:val="Heading1"/>
        <w:spacing w:after="200" w:before="360"/>
      </w:pPr>
      <w:r>
        <w:rPr>
          <w:b/>
          <w:bCs/>
          <w:color w:val="1F2937"/>
          <w:sz w:val="28"/>
          <w:szCs w:val="28"/>
        </w:rPr>
        <w:t xml:space="preserve">5. LOCALIZACIÓN Y CONTEXTO TERRITORIAL</w:t>
      </w:r>
    </w:p>
    <w:p>
      <w:pPr>
        <w:pStyle w:val="Heading2"/>
        <w:spacing w:after="140" w:before="240"/>
      </w:pPr>
      <w:r>
        <w:rPr>
          <w:b/>
          <w:bCs/>
          <w:color w:val="4A9D8E"/>
          <w:sz w:val="24"/>
          <w:szCs w:val="24"/>
        </w:rPr>
        <w:t xml:space="preserve">5.1. Localización político-administrativa</w:t>
      </w:r>
    </w:p>
    <w:p>
      <w:pPr>
        <w:spacing w:after="160" w:line="320"/>
        <w:jc w:val="both"/>
      </w:pPr>
      <w:r>
        <w:rPr>
          <w:sz w:val="22"/>
          <w:szCs w:val="22"/>
        </w:rPr>
        <w:t xml:space="preserve">La Granja Avícola Jamaica se encuentra localizada en la vereda Aguas Claras, jurisdicción del municipio de Sabana de Torres, departamento de Santander. El predio se sitúa en el sector noroccidental del municipio, zona caracterizada por la predominancia de actividades agropecuarias de carácter intensivo, entre las cuales la avicultura constituye uno de los renglones económicos de mayor relevancia, según lo registrado en la ficha de caracterización municipal del Departamento Nacional de Planeación (DNP). El punto de captación del agua subterránea corresponde a un pozo profundo cuyas coordenadas decimales son latitud 7,275152, longitud -73,558266, referidas al sistema de referencia MAGNA-SIRGAS, origen Bogotá.</w:t>
      </w:r>
    </w:p>
    <w:p>
      <w:pPr>
        <w:spacing w:after="90" w:before="220"/>
        <w:jc w:val="center"/>
      </w:pPr>
      <w:r>
        <w:rPr>
          <w:b/>
          <w:bCs/>
          <w:sz w:val="20"/>
          <w:szCs w:val="20"/>
        </w:rPr>
        <w:t xml:space="preserve">Tabla 5. Localización geográfica del punto de captación — pozo profundo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shd w:fill="4A9D8E" w:val="clear"/>
          </w:tcPr>
          <w:p>
            <w:pPr>
              <w:spacing w:after="50" w:before="50"/>
              <w:jc w:val="center"/>
            </w:pPr>
            <w:r>
              <w:rPr>
                <w:b/>
                <w:bCs/>
                <w:color w:val="FFFFFF"/>
                <w:sz w:val="20"/>
                <w:szCs w:val="20"/>
              </w:rPr>
              <w:t xml:space="preserve">Parámetro</w:t>
            </w:r>
          </w:p>
        </w:tc>
        <w:tc>
          <w:tcPr>
            <w:shd w:fill="4A9D8E" w:val="clear"/>
          </w:tcPr>
          <w:p>
            <w:pPr>
              <w:spacing w:after="50" w:before="50"/>
              <w:jc w:val="center"/>
            </w:pPr>
            <w:r>
              <w:rPr>
                <w:b/>
                <w:bCs/>
                <w:color w:val="FFFFFF"/>
                <w:sz w:val="20"/>
                <w:szCs w:val="20"/>
              </w:rPr>
              <w:t xml:space="preserve">Descripción</w:t>
            </w:r>
          </w:p>
        </w:tc>
      </w:tr>
      <w:tr>
        <w:tc>
          <w:tcPr>
            <w:shd w:fill="F1F8F6" w:val="clear"/>
          </w:tcPr>
          <w:p>
            <w:pPr>
              <w:spacing w:after="50" w:before="50"/>
              <w:jc w:val="left"/>
            </w:pPr>
            <w:r>
              <w:rPr>
                <w:sz w:val="20"/>
                <w:szCs w:val="20"/>
              </w:rPr>
              <w:t xml:space="preserve">Proyecto</w:t>
            </w:r>
          </w:p>
        </w:tc>
        <w:tc>
          <w:tcPr>
            <w:shd w:fill="F1F8F6" w:val="clear"/>
          </w:tcPr>
          <w:p>
            <w:pPr>
              <w:spacing w:after="50" w:before="50"/>
              <w:jc w:val="left"/>
            </w:pPr>
            <w:r>
              <w:rPr>
                <w:sz w:val="20"/>
                <w:szCs w:val="20"/>
              </w:rPr>
              <w:t xml:space="preserve">Granja Avícola Jamaica</w:t>
            </w:r>
          </w:p>
        </w:tc>
      </w:tr>
      <w:tr>
        <w:tc>
          <w:tcPr>
            <w:shd w:fill="FFFFFF" w:val="clear"/>
          </w:tcPr>
          <w:p>
            <w:pPr>
              <w:spacing w:after="50" w:before="50"/>
              <w:jc w:val="left"/>
            </w:pPr>
            <w:r>
              <w:rPr>
                <w:sz w:val="20"/>
                <w:szCs w:val="20"/>
              </w:rPr>
              <w:t xml:space="preserve">Titular</w:t>
            </w:r>
          </w:p>
        </w:tc>
        <w:tc>
          <w:tcPr>
            <w:shd w:fill="FFFFFF" w:val="clear"/>
          </w:tcPr>
          <w:p>
            <w:pPr>
              <w:spacing w:after="50" w:before="50"/>
              <w:jc w:val="left"/>
            </w:pPr>
            <w:r>
              <w:rPr>
                <w:sz w:val="20"/>
                <w:szCs w:val="20"/>
              </w:rPr>
              <w:t xml:space="preserve">AVSA SA</w:t>
            </w:r>
          </w:p>
        </w:tc>
      </w:tr>
      <w:tr>
        <w:tc>
          <w:tcPr>
            <w:shd w:fill="F1F8F6" w:val="clear"/>
          </w:tcPr>
          <w:p>
            <w:pPr>
              <w:spacing w:after="50" w:before="50"/>
              <w:jc w:val="left"/>
            </w:pPr>
            <w:r>
              <w:rPr>
                <w:sz w:val="20"/>
                <w:szCs w:val="20"/>
              </w:rPr>
              <w:t xml:space="preserve">Vereda</w:t>
            </w:r>
          </w:p>
        </w:tc>
        <w:tc>
          <w:tcPr>
            <w:shd w:fill="F1F8F6" w:val="clear"/>
          </w:tcPr>
          <w:p>
            <w:pPr>
              <w:spacing w:after="50" w:before="50"/>
              <w:jc w:val="left"/>
            </w:pPr>
            <w:r>
              <w:rPr>
                <w:sz w:val="20"/>
                <w:szCs w:val="20"/>
              </w:rPr>
              <w:t xml:space="preserve">Aguas Claras</w:t>
            </w:r>
          </w:p>
        </w:tc>
      </w:tr>
      <w:tr>
        <w:tc>
          <w:tcPr>
            <w:shd w:fill="FFFFFF" w:val="clear"/>
          </w:tcPr>
          <w:p>
            <w:pPr>
              <w:spacing w:after="50" w:before="50"/>
              <w:jc w:val="left"/>
            </w:pPr>
            <w:r>
              <w:rPr>
                <w:sz w:val="20"/>
                <w:szCs w:val="20"/>
              </w:rPr>
              <w:t xml:space="preserve">Municipio</w:t>
            </w:r>
          </w:p>
        </w:tc>
        <w:tc>
          <w:tcPr>
            <w:shd w:fill="FFFFFF" w:val="clear"/>
          </w:tcPr>
          <w:p>
            <w:pPr>
              <w:spacing w:after="50" w:before="50"/>
              <w:jc w:val="left"/>
            </w:pPr>
            <w:r>
              <w:rPr>
                <w:sz w:val="20"/>
                <w:szCs w:val="20"/>
              </w:rPr>
              <w:t xml:space="preserve">Sabana de Torres</w:t>
            </w:r>
          </w:p>
        </w:tc>
      </w:tr>
      <w:tr>
        <w:tc>
          <w:tcPr>
            <w:shd w:fill="F1F8F6" w:val="clear"/>
          </w:tcPr>
          <w:p>
            <w:pPr>
              <w:spacing w:after="50" w:before="50"/>
              <w:jc w:val="left"/>
            </w:pPr>
            <w:r>
              <w:rPr>
                <w:sz w:val="20"/>
                <w:szCs w:val="20"/>
              </w:rPr>
              <w:t xml:space="preserve">Departamento</w:t>
            </w:r>
          </w:p>
        </w:tc>
        <w:tc>
          <w:tcPr>
            <w:shd w:fill="F1F8F6" w:val="clear"/>
          </w:tcPr>
          <w:p>
            <w:pPr>
              <w:spacing w:after="50" w:before="50"/>
              <w:jc w:val="left"/>
            </w:pPr>
            <w:r>
              <w:rPr>
                <w:sz w:val="20"/>
                <w:szCs w:val="20"/>
              </w:rPr>
              <w:t xml:space="preserve">Santander</w:t>
            </w:r>
          </w:p>
        </w:tc>
      </w:tr>
      <w:tr>
        <w:tc>
          <w:tcPr>
            <w:shd w:fill="FFFFFF" w:val="clear"/>
          </w:tcPr>
          <w:p>
            <w:pPr>
              <w:spacing w:after="50" w:before="50"/>
              <w:jc w:val="left"/>
            </w:pPr>
            <w:r>
              <w:rPr>
                <w:sz w:val="20"/>
                <w:szCs w:val="20"/>
              </w:rPr>
              <w:t xml:space="preserve">Tipo de fuente hídrica</w:t>
            </w:r>
          </w:p>
        </w:tc>
        <w:tc>
          <w:tcPr>
            <w:shd w:fill="FFFFFF" w:val="clear"/>
          </w:tcPr>
          <w:p>
            <w:pPr>
              <w:spacing w:after="50" w:before="50"/>
              <w:jc w:val="left"/>
            </w:pPr>
            <w:r>
              <w:rPr>
                <w:sz w:val="20"/>
                <w:szCs w:val="20"/>
              </w:rPr>
              <w:t xml:space="preserve">Pozo profundo (agua subterránea)</w:t>
            </w:r>
          </w:p>
        </w:tc>
      </w:tr>
      <w:tr>
        <w:tc>
          <w:tcPr>
            <w:shd w:fill="F1F8F6" w:val="clear"/>
          </w:tcPr>
          <w:p>
            <w:pPr>
              <w:spacing w:after="50" w:before="50"/>
              <w:jc w:val="left"/>
            </w:pPr>
            <w:r>
              <w:rPr>
                <w:sz w:val="20"/>
                <w:szCs w:val="20"/>
              </w:rPr>
              <w:t xml:space="preserve">Latitud (MAGNA-SIRGAS decimal)</w:t>
            </w:r>
          </w:p>
        </w:tc>
        <w:tc>
          <w:tcPr>
            <w:shd w:fill="F1F8F6" w:val="clear"/>
          </w:tcPr>
          <w:p>
            <w:pPr>
              <w:spacing w:after="50" w:before="50"/>
              <w:jc w:val="left"/>
            </w:pPr>
            <w:r>
              <w:rPr>
                <w:sz w:val="20"/>
                <w:szCs w:val="20"/>
              </w:rPr>
              <w:t xml:space="preserve">7,275152</w:t>
            </w:r>
          </w:p>
        </w:tc>
      </w:tr>
      <w:tr>
        <w:tc>
          <w:tcPr>
            <w:shd w:fill="FFFFFF" w:val="clear"/>
          </w:tcPr>
          <w:p>
            <w:pPr>
              <w:spacing w:after="50" w:before="50"/>
              <w:jc w:val="left"/>
            </w:pPr>
            <w:r>
              <w:rPr>
                <w:sz w:val="20"/>
                <w:szCs w:val="20"/>
              </w:rPr>
              <w:t xml:space="preserve">Longitud (MAGNA-SIRGAS decimal)</w:t>
            </w:r>
          </w:p>
        </w:tc>
        <w:tc>
          <w:tcPr>
            <w:shd w:fill="FFFFFF" w:val="clear"/>
          </w:tcPr>
          <w:p>
            <w:pPr>
              <w:spacing w:after="50" w:before="50"/>
              <w:jc w:val="left"/>
            </w:pPr>
            <w:r>
              <w:rPr>
                <w:sz w:val="20"/>
                <w:szCs w:val="20"/>
              </w:rPr>
              <w:t xml:space="preserve">-73,558266</w:t>
            </w:r>
          </w:p>
        </w:tc>
      </w:tr>
      <w:tr>
        <w:tc>
          <w:tcPr>
            <w:shd w:fill="F1F8F6" w:val="clear"/>
          </w:tcPr>
          <w:p>
            <w:pPr>
              <w:spacing w:after="50" w:before="50"/>
              <w:jc w:val="left"/>
            </w:pPr>
            <w:r>
              <w:rPr>
                <w:sz w:val="20"/>
                <w:szCs w:val="20"/>
              </w:rPr>
              <w:t xml:space="preserve">Uso principal del agua</w:t>
            </w:r>
          </w:p>
        </w:tc>
        <w:tc>
          <w:tcPr>
            <w:shd w:fill="F1F8F6" w:val="clear"/>
          </w:tcPr>
          <w:p>
            <w:pPr>
              <w:spacing w:after="50" w:before="50"/>
              <w:jc w:val="left"/>
            </w:pPr>
            <w:r>
              <w:rPr>
                <w:sz w:val="20"/>
                <w:szCs w:val="20"/>
              </w:rPr>
              <w:t xml:space="preserve">Pecuario — avicultura</w:t>
            </w:r>
          </w:p>
        </w:tc>
      </w:tr>
    </w:tbl>
    <w:p>
      <w:pPr>
        <w:spacing w:after="180" w:before="60"/>
        <w:jc w:val="left"/>
      </w:pPr>
      <w:r>
        <w:rPr>
          <w:i/>
          <w:iCs/>
          <w:color w:val="777777"/>
          <w:sz w:val="16"/>
          <w:szCs w:val="16"/>
        </w:rPr>
        <w:t xml:space="preserve">Fuente. Levantamiento de campo — punto de inspección 4. Sistema de referencia MAGNA-SIRGAS, origen Bogotá.</w:t>
      </w:r>
    </w:p>
    <w:p>
      <w:pPr>
        <w:spacing w:after="160" w:line="320"/>
        <w:jc w:val="both"/>
      </w:pPr>
      <w:r>
        <w:rPr>
          <w:sz w:val="22"/>
          <w:szCs w:val="22"/>
        </w:rPr>
        <w:t xml:space="preserve">El municipio de Sabana de Torres forma parte de la subregión del Magdalena Medio santandereano, limitando al norte con los municipios de Puerto Wilches y Barrancabermeja, al oriente con Lebrija y Rionegro, al sur con Betulia y al occidente con el departamento de Bolívar. Su cabecera municipal se encuentra a aproximadamente 105 km de Bucaramanga, capital del departamento. La vereda Aguas Claras, donde se emplaza el proyecto, se ubica en el sector central del territorio municipal, con características de paisaje de piedemonte y llanura aluvial del río Sogamoso, que determina condiciones particulares de recarga y comportamiento del acuífero explotado mediante el pozo de captación.</w:t>
      </w:r>
    </w:p>
    <w:p>
      <w:pPr>
        <w:pStyle w:val="Heading2"/>
        <w:spacing w:after="140" w:before="240"/>
      </w:pPr>
      <w:r>
        <w:rPr>
          <w:b/>
          <w:bCs/>
          <w:color w:val="4A9D8E"/>
          <w:sz w:val="24"/>
          <w:szCs w:val="24"/>
        </w:rPr>
        <w:t xml:space="preserve">5.2. Contexto hidrográfico e hidrogeológico</w:t>
      </w:r>
    </w:p>
    <w:p>
      <w:pPr>
        <w:spacing w:after="160" w:line="320"/>
        <w:jc w:val="both"/>
      </w:pPr>
      <w:r>
        <w:rPr>
          <w:sz w:val="22"/>
          <w:szCs w:val="22"/>
        </w:rPr>
        <w:t xml:space="preserve">Desde el punto de vista hidrográfico nacional, el proyecto se inscribe en el área hidrográfica Magdalena-Cauca (código 2), zona hidrográfica del río Sogamoso (código 23), la cual corresponde a uno de los principales tributarios del río Magdalena en su margen oriental. La subzona hidrográfica de referencia para el municipio de Sabana de Torres corresponde a la cuenca del río Sogamoso en su tramo medio-bajo, ámbito en el que convergen drenajes de carácter permanente e intermitente que alimentan los sistemas de recarga de los acuíferos locales. Esta clasificación es coherente con el marco de gestión integral de cuencas hidrográficas establecido en el Decreto 1640 de 2012 y con la zonificación adoptada por el Instituto de Hidrología, Meteorología y Estudios Ambientales (IDEAM) para el territorio nacional.</w:t>
      </w:r>
    </w:p>
    <w:p>
      <w:pPr>
        <w:spacing w:after="90" w:before="220"/>
        <w:jc w:val="center"/>
      </w:pPr>
      <w:r>
        <w:rPr>
          <w:b/>
          <w:bCs/>
          <w:sz w:val="20"/>
          <w:szCs w:val="20"/>
        </w:rPr>
        <w:t xml:space="preserve">Tabla 6. Clasificación hidrográfica del área del proyecto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Nivel de clasificación</w:t>
            </w:r>
          </w:p>
        </w:tc>
        <w:tc>
          <w:tcPr>
            <w:shd w:fill="4A9D8E" w:val="clear"/>
          </w:tcPr>
          <w:p>
            <w:pPr>
              <w:spacing w:after="50" w:before="50"/>
              <w:jc w:val="center"/>
            </w:pPr>
            <w:r>
              <w:rPr>
                <w:b/>
                <w:bCs/>
                <w:color w:val="FFFFFF"/>
                <w:sz w:val="20"/>
                <w:szCs w:val="20"/>
              </w:rPr>
              <w:t xml:space="preserve">Denominación</w:t>
            </w:r>
          </w:p>
        </w:tc>
        <w:tc>
          <w:tcPr>
            <w:shd w:fill="4A9D8E" w:val="clear"/>
          </w:tcPr>
          <w:p>
            <w:pPr>
              <w:spacing w:after="50" w:before="50"/>
              <w:jc w:val="center"/>
            </w:pPr>
            <w:r>
              <w:rPr>
                <w:b/>
                <w:bCs/>
                <w:color w:val="FFFFFF"/>
                <w:sz w:val="20"/>
                <w:szCs w:val="20"/>
              </w:rPr>
              <w:t xml:space="preserve">Código IDEAM</w:t>
            </w:r>
          </w:p>
        </w:tc>
      </w:tr>
      <w:tr>
        <w:tc>
          <w:tcPr>
            <w:shd w:fill="F1F8F6" w:val="clear"/>
          </w:tcPr>
          <w:p>
            <w:pPr>
              <w:spacing w:after="50" w:before="50"/>
              <w:jc w:val="left"/>
            </w:pPr>
            <w:r>
              <w:rPr>
                <w:sz w:val="20"/>
                <w:szCs w:val="20"/>
              </w:rPr>
              <w:t xml:space="preserve">Área hidrográfica</w:t>
            </w:r>
          </w:p>
        </w:tc>
        <w:tc>
          <w:tcPr>
            <w:shd w:fill="F1F8F6" w:val="clear"/>
          </w:tcPr>
          <w:p>
            <w:pPr>
              <w:spacing w:after="50" w:before="50"/>
              <w:jc w:val="left"/>
            </w:pPr>
            <w:r>
              <w:rPr>
                <w:sz w:val="20"/>
                <w:szCs w:val="20"/>
              </w:rPr>
              <w:t xml:space="preserve">Magdalena-Cauca</w:t>
            </w:r>
          </w:p>
        </w:tc>
        <w:tc>
          <w:tcPr>
            <w:shd w:fill="F1F8F6" w:val="clear"/>
          </w:tcPr>
          <w:p>
            <w:pPr>
              <w:spacing w:after="50" w:before="50"/>
              <w:jc w:val="left"/>
            </w:pPr>
            <w:r>
              <w:rPr>
                <w:sz w:val="20"/>
                <w:szCs w:val="20"/>
              </w:rPr>
              <w:t xml:space="preserve">2</w:t>
            </w:r>
          </w:p>
        </w:tc>
      </w:tr>
      <w:tr>
        <w:tc>
          <w:tcPr>
            <w:shd w:fill="FFFFFF" w:val="clear"/>
          </w:tcPr>
          <w:p>
            <w:pPr>
              <w:spacing w:after="50" w:before="50"/>
              <w:jc w:val="left"/>
            </w:pPr>
            <w:r>
              <w:rPr>
                <w:sz w:val="20"/>
                <w:szCs w:val="20"/>
              </w:rPr>
              <w:t xml:space="preserve">Zona hidrográfica</w:t>
            </w:r>
          </w:p>
        </w:tc>
        <w:tc>
          <w:tcPr>
            <w:shd w:fill="FFFFFF" w:val="clear"/>
          </w:tcPr>
          <w:p>
            <w:pPr>
              <w:spacing w:after="50" w:before="50"/>
              <w:jc w:val="left"/>
            </w:pPr>
            <w:r>
              <w:rPr>
                <w:sz w:val="20"/>
                <w:szCs w:val="20"/>
              </w:rPr>
              <w:t xml:space="preserve">Sogamoso</w:t>
            </w:r>
          </w:p>
        </w:tc>
        <w:tc>
          <w:tcPr>
            <w:shd w:fill="FFFFFF" w:val="clear"/>
          </w:tcPr>
          <w:p>
            <w:pPr>
              <w:spacing w:after="50" w:before="50"/>
              <w:jc w:val="left"/>
            </w:pPr>
            <w:r>
              <w:rPr>
                <w:sz w:val="20"/>
                <w:szCs w:val="20"/>
              </w:rPr>
              <w:t xml:space="preserve">23</w:t>
            </w:r>
          </w:p>
        </w:tc>
      </w:tr>
      <w:tr>
        <w:tc>
          <w:tcPr>
            <w:shd w:fill="F1F8F6" w:val="clear"/>
          </w:tcPr>
          <w:p>
            <w:pPr>
              <w:spacing w:after="50" w:before="50"/>
              <w:jc w:val="left"/>
            </w:pPr>
            <w:r>
              <w:rPr>
                <w:sz w:val="20"/>
                <w:szCs w:val="20"/>
              </w:rPr>
              <w:t xml:space="preserve">Subzona hidrográfica</w:t>
            </w:r>
          </w:p>
        </w:tc>
        <w:tc>
          <w:tcPr>
            <w:shd w:fill="F1F8F6" w:val="clear"/>
          </w:tcPr>
          <w:p>
            <w:pPr>
              <w:spacing w:after="50" w:before="50"/>
              <w:jc w:val="left"/>
            </w:pPr>
            <w:r>
              <w:rPr>
                <w:sz w:val="20"/>
                <w:szCs w:val="20"/>
              </w:rPr>
              <w:t xml:space="preserve">Río Sogamoso tramo medio-bajo</w:t>
            </w:r>
          </w:p>
        </w:tc>
        <w:tc>
          <w:tcPr>
            <w:shd w:fill="F1F8F6" w:val="clear"/>
          </w:tcPr>
          <w:p>
            <w:pPr>
              <w:spacing w:after="50" w:before="50"/>
              <w:jc w:val="left"/>
            </w:pPr>
            <w:r>
              <w:rPr>
                <w:sz w:val="20"/>
                <w:szCs w:val="20"/>
              </w:rPr>
              <w:t xml:space="preserve">2301 (referencia IDEAM)</w:t>
            </w:r>
          </w:p>
        </w:tc>
      </w:tr>
      <w:tr>
        <w:tc>
          <w:tcPr>
            <w:shd w:fill="FFFFFF" w:val="clear"/>
          </w:tcPr>
          <w:p>
            <w:pPr>
              <w:spacing w:after="50" w:before="50"/>
              <w:jc w:val="left"/>
            </w:pPr>
            <w:r>
              <w:rPr>
                <w:sz w:val="20"/>
                <w:szCs w:val="20"/>
              </w:rPr>
              <w:t xml:space="preserve">Municipio</w:t>
            </w:r>
          </w:p>
        </w:tc>
        <w:tc>
          <w:tcPr>
            <w:shd w:fill="FFFFFF" w:val="clear"/>
          </w:tcPr>
          <w:p>
            <w:pPr>
              <w:spacing w:after="50" w:before="50"/>
              <w:jc w:val="left"/>
            </w:pPr>
            <w:r>
              <w:rPr>
                <w:sz w:val="20"/>
                <w:szCs w:val="20"/>
              </w:rPr>
              <w:t xml:space="preserve">Sabana de Torres</w:t>
            </w:r>
          </w:p>
        </w:tc>
        <w:tc>
          <w:tcPr>
            <w:shd w:fill="FFFFFF" w:val="clear"/>
          </w:tcPr>
          <w:p>
            <w:pPr>
              <w:spacing w:after="50" w:before="50"/>
              <w:jc w:val="left"/>
            </w:pPr>
            <w:r>
              <w:rPr>
                <w:sz w:val="20"/>
                <w:szCs w:val="20"/>
              </w:rPr>
              <w:t xml:space="preserve">—</w:t>
            </w:r>
          </w:p>
        </w:tc>
      </w:tr>
      <w:tr>
        <w:tc>
          <w:tcPr>
            <w:shd w:fill="F1F8F6" w:val="clear"/>
          </w:tcPr>
          <w:p>
            <w:pPr>
              <w:spacing w:after="50" w:before="50"/>
              <w:jc w:val="left"/>
            </w:pPr>
            <w:r>
              <w:rPr>
                <w:sz w:val="20"/>
                <w:szCs w:val="20"/>
              </w:rPr>
              <w:t xml:space="preserve">Departamento</w:t>
            </w:r>
          </w:p>
        </w:tc>
        <w:tc>
          <w:tcPr>
            <w:shd w:fill="F1F8F6" w:val="clear"/>
          </w:tcPr>
          <w:p>
            <w:pPr>
              <w:spacing w:after="50" w:before="50"/>
              <w:jc w:val="left"/>
            </w:pPr>
            <w:r>
              <w:rPr>
                <w:sz w:val="20"/>
                <w:szCs w:val="20"/>
              </w:rPr>
              <w:t xml:space="preserve">Santander</w:t>
            </w:r>
          </w:p>
        </w:tc>
        <w:tc>
          <w:tcPr>
            <w:shd w:fill="F1F8F6" w:val="clear"/>
          </w:tcPr>
          <w:p>
            <w:pPr>
              <w:spacing w:after="50" w:before="50"/>
              <w:jc w:val="left"/>
            </w:pPr>
            <w:r>
              <w:rPr>
                <w:sz w:val="20"/>
                <w:szCs w:val="20"/>
              </w:rPr>
              <w:t xml:space="preserve">—</w:t>
            </w:r>
          </w:p>
        </w:tc>
      </w:tr>
    </w:tbl>
    <w:p>
      <w:pPr>
        <w:spacing w:after="180" w:before="60"/>
        <w:jc w:val="left"/>
      </w:pPr>
      <w:r>
        <w:rPr>
          <w:i/>
          <w:iCs/>
          <w:color w:val="777777"/>
          <w:sz w:val="16"/>
          <w:szCs w:val="16"/>
        </w:rPr>
        <w:t xml:space="preserve">Fuente. Clasificación hidrográfica de Colombia — IDEAM (2013). Decreto 1640 de 2012.</w:t>
      </w:r>
    </w:p>
    <w:p>
      <w:pPr>
        <w:spacing w:after="160" w:line="320"/>
        <w:jc w:val="both"/>
      </w:pPr>
      <w:r>
        <w:rPr>
          <w:sz w:val="22"/>
          <w:szCs w:val="22"/>
        </w:rPr>
        <w:t xml:space="preserve">En términos hidrogeológicos, el área de Sabana de Torres se localiza en una provincia de acuíferos sedimentarios del valle del Magdalena Medio, donde los depósitos cuaternarios aluviales y fluvio-lacustres constituyen los principales reservorios de agua subterránea. La fuente de abastecimiento del proyecto es un pozo profundo perforado en dicho contexto geológico, sin que a la fecha de radicación del presente instrumento la fuente hídrica cuente con denominación oficial en el registro de la Corporación Autónoma Regional de Santander (CAS). El caudal solicitado en concesión asciende a 4,219 L/s, distribuido entre los usos pecuario, doméstico y otros usos de bioseguridad, conforme al desglose por módulos oficiales de la CAS que se desarrolla en la sección de demanda hídrica del presente documento.</w:t>
      </w:r>
    </w:p>
    <w:p>
      <w:pPr>
        <w:pStyle w:val="Heading2"/>
        <w:spacing w:after="140" w:before="240"/>
      </w:pPr>
      <w:r>
        <w:rPr>
          <w:b/>
          <w:bCs/>
          <w:color w:val="4A9D8E"/>
          <w:sz w:val="24"/>
          <w:szCs w:val="24"/>
        </w:rPr>
        <w:t xml:space="preserve">5.3. Usos del suelo y contexto territorial</w:t>
      </w:r>
    </w:p>
    <w:p>
      <w:pPr>
        <w:spacing w:after="160" w:line="320"/>
        <w:jc w:val="both"/>
      </w:pPr>
      <w:r>
        <w:rPr>
          <w:sz w:val="22"/>
          <w:szCs w:val="22"/>
        </w:rPr>
        <w:t xml:space="preserve">Conforme a las actividades productivas identificadas en el levantamiento de campo y a la caracterización territorial del DNP para Sabana de Torres, el uso del suelo predominante en el área de influencia del proyecto corresponde a actividades agropecuarias, con especial presencia de la avicultura como actividad económica consolidada y socialmente aceptada en la región. La granja opera con dos núcleos productivos: el Núcleo 1, conformado por seis galpones operativos, y el Núcleo 2, con dos galpones operativos y cinco en etapa constructiva, para una capacidad total instalada y proyectada que sustenta la demanda hídrica objeto del presente trámite. La infraestructura de soporte incluye sistema de captación desde pozo profundo, red de conducción en tubería PVC de cuatro pulgadas, tres tanques de almacenamiento de agua tratada con capacidad unitaria de 100 m³, y fuente hídrica alterna consistente en un reservorio de aguas lluvias localizado en las coordenadas de las cuales se toma referencia en el punto de inspección 7 del levantamiento.</w:t>
      </w:r>
    </w:p>
    <w:p>
      <w:r>
        <w:br w:type="page"/>
      </w:r>
    </w:p>
    <w:p>
      <w:pPr>
        <w:pStyle w:val="Heading1"/>
        <w:spacing w:after="200" w:before="360"/>
      </w:pPr>
      <w:r>
        <w:rPr>
          <w:b/>
          <w:bCs/>
          <w:color w:val="1F2937"/>
          <w:sz w:val="28"/>
          <w:szCs w:val="28"/>
        </w:rPr>
        <w:t xml:space="preserve">6. CARACTERIZACIÓN DE LA CUENCA HIDROGRÁFICA</w:t>
      </w:r>
    </w:p>
    <w:p>
      <w:pPr>
        <w:pStyle w:val="Heading2"/>
        <w:spacing w:after="140" w:before="240"/>
      </w:pPr>
      <w:r>
        <w:rPr>
          <w:b/>
          <w:bCs/>
          <w:color w:val="4A9D8E"/>
          <w:sz w:val="24"/>
          <w:szCs w:val="24"/>
        </w:rPr>
        <w:t xml:space="preserve">6.1. Definición y delimitación de la cuenca hidrográfica</w:t>
      </w:r>
    </w:p>
    <w:p>
      <w:pPr>
        <w:spacing w:after="160" w:line="320"/>
        <w:jc w:val="both"/>
      </w:pPr>
      <w:r>
        <w:rPr>
          <w:sz w:val="22"/>
          <w:szCs w:val="22"/>
        </w:rPr>
        <w:t xml:space="preserve">De conformidad con el Decreto 1640 de 2012, una cuenca hidrográfica se define como el área de aguas superficiales o subterráneas que vierten a una red hidrográfica natural con uno o varios cauces naturales, de caudal continuo o intermitente, que confluyen en un curso mayor, el cual, a su vez, puede desembocar en un río principal, en un depósito natural de aguas, en un pantano o directamente en el mar. El predio donde se localiza la Granja Avícola Jamaica se ubica en la jurisdicción del municipio de Sabana de Torres, departamento de Santander, en un área que drena hacia la gran cuenca del río Magdalena, específicamente a través de la subzona hidrográfica del río Sogamoso (código 2308 de la zonificación hidrográfica de Colombia del IDEAM). Esta clasificación corresponde al nivel de subzona hidrográfica según la codificación establecida por el IDEAM en el documento 'Zonificación Hidrográfica de Colombia' (2013), que organiza el territorio nacional en áreas hidrográficas, zonas hidrográficas y subzonas hidrográficas.</w:t>
      </w:r>
    </w:p>
    <w:p>
      <w:pPr>
        <w:spacing w:after="160" w:line="320"/>
        <w:jc w:val="both"/>
      </w:pPr>
      <w:r>
        <w:rPr>
          <w:sz w:val="22"/>
          <w:szCs w:val="22"/>
        </w:rPr>
        <w:t xml:space="preserve">La subzona hidrográfica del río Sogamoso (2308) hace parte de la zona hidrográfica Medio Magdalena (23), perteneciente al área hidrográfica del Magdalena-Cauca (2). El municipio de Sabana de Torres se enmarca predominantemente en las llanuras del valle medio del Magdalena, con una topografía de carácter plano a ligeramente ondulado en el sector donde se localiza el proyecto. Esta condición morfológica determina que los excedentes hídricos superficiales drenan con pendientes bajas hacia la red de caños y ciénagas tributarios del río Sogamoso, antes de confluir al río Magdalena. La captación objeto de la concesión corresponde a un pozo profundo que aprovecha el sistema acuífero del subsuelo, de modo que la cuenca superficial constituye la unidad de análisis del contexto regional, mientras que la caracterización hidrogeológica define el entorno inmediato del recurso a explotar.</w:t>
      </w:r>
    </w:p>
    <w:p>
      <w:pPr>
        <w:pStyle w:val="Heading2"/>
        <w:spacing w:after="140" w:before="240"/>
      </w:pPr>
      <w:r>
        <w:rPr>
          <w:b/>
          <w:bCs/>
          <w:color w:val="4A9D8E"/>
          <w:sz w:val="24"/>
          <w:szCs w:val="24"/>
        </w:rPr>
        <w:t xml:space="preserve">6.2. Zonificación hidrográfica del área de proyecto</w:t>
      </w:r>
    </w:p>
    <w:p>
      <w:pPr>
        <w:spacing w:after="90" w:before="220"/>
        <w:jc w:val="center"/>
      </w:pPr>
      <w:r>
        <w:rPr>
          <w:b/>
          <w:bCs/>
          <w:sz w:val="20"/>
          <w:szCs w:val="20"/>
        </w:rPr>
        <w:t xml:space="preserve">Tabla 7. Zonificación hidrográfica del punto de captación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Nivel</w:t>
            </w:r>
          </w:p>
        </w:tc>
        <w:tc>
          <w:tcPr>
            <w:shd w:fill="4A9D8E" w:val="clear"/>
          </w:tcPr>
          <w:p>
            <w:pPr>
              <w:spacing w:after="50" w:before="50"/>
              <w:jc w:val="center"/>
            </w:pPr>
            <w:r>
              <w:rPr>
                <w:b/>
                <w:bCs/>
                <w:color w:val="FFFFFF"/>
                <w:sz w:val="20"/>
                <w:szCs w:val="20"/>
              </w:rPr>
              <w:t xml:space="preserve">Código</w:t>
            </w:r>
          </w:p>
        </w:tc>
        <w:tc>
          <w:tcPr>
            <w:shd w:fill="4A9D8E" w:val="clear"/>
          </w:tcPr>
          <w:p>
            <w:pPr>
              <w:spacing w:after="50" w:before="50"/>
              <w:jc w:val="center"/>
            </w:pPr>
            <w:r>
              <w:rPr>
                <w:b/>
                <w:bCs/>
                <w:color w:val="FFFFFF"/>
                <w:sz w:val="20"/>
                <w:szCs w:val="20"/>
              </w:rPr>
              <w:t xml:space="preserve">Denominación</w:t>
            </w:r>
          </w:p>
        </w:tc>
      </w:tr>
      <w:tr>
        <w:tc>
          <w:tcPr>
            <w:shd w:fill="F1F8F6" w:val="clear"/>
          </w:tcPr>
          <w:p>
            <w:pPr>
              <w:spacing w:after="50" w:before="50"/>
              <w:jc w:val="left"/>
            </w:pPr>
            <w:r>
              <w:rPr>
                <w:sz w:val="20"/>
                <w:szCs w:val="20"/>
              </w:rPr>
              <w:t xml:space="preserve">Área hidrográfica</w:t>
            </w:r>
          </w:p>
        </w:tc>
        <w:tc>
          <w:tcPr>
            <w:shd w:fill="F1F8F6" w:val="clear"/>
          </w:tcPr>
          <w:p>
            <w:pPr>
              <w:spacing w:after="50" w:before="50"/>
              <w:jc w:val="left"/>
            </w:pPr>
            <w:r>
              <w:rPr>
                <w:sz w:val="20"/>
                <w:szCs w:val="20"/>
              </w:rPr>
              <w:t xml:space="preserve">2</w:t>
            </w:r>
          </w:p>
        </w:tc>
        <w:tc>
          <w:tcPr>
            <w:shd w:fill="F1F8F6" w:val="clear"/>
          </w:tcPr>
          <w:p>
            <w:pPr>
              <w:spacing w:after="50" w:before="50"/>
              <w:jc w:val="left"/>
            </w:pPr>
            <w:r>
              <w:rPr>
                <w:sz w:val="20"/>
                <w:szCs w:val="20"/>
              </w:rPr>
              <w:t xml:space="preserve">Magdalena-Cauca</w:t>
            </w:r>
          </w:p>
        </w:tc>
      </w:tr>
      <w:tr>
        <w:tc>
          <w:tcPr>
            <w:shd w:fill="FFFFFF" w:val="clear"/>
          </w:tcPr>
          <w:p>
            <w:pPr>
              <w:spacing w:after="50" w:before="50"/>
              <w:jc w:val="left"/>
            </w:pPr>
            <w:r>
              <w:rPr>
                <w:sz w:val="20"/>
                <w:szCs w:val="20"/>
              </w:rPr>
              <w:t xml:space="preserve">Zona hidrográfica</w:t>
            </w:r>
          </w:p>
        </w:tc>
        <w:tc>
          <w:tcPr>
            <w:shd w:fill="FFFFFF" w:val="clear"/>
          </w:tcPr>
          <w:p>
            <w:pPr>
              <w:spacing w:after="50" w:before="50"/>
              <w:jc w:val="left"/>
            </w:pPr>
            <w:r>
              <w:rPr>
                <w:sz w:val="20"/>
                <w:szCs w:val="20"/>
              </w:rPr>
              <w:t xml:space="preserve">23</w:t>
            </w:r>
          </w:p>
        </w:tc>
        <w:tc>
          <w:tcPr>
            <w:shd w:fill="FFFFFF" w:val="clear"/>
          </w:tcPr>
          <w:p>
            <w:pPr>
              <w:spacing w:after="50" w:before="50"/>
              <w:jc w:val="left"/>
            </w:pPr>
            <w:r>
              <w:rPr>
                <w:sz w:val="20"/>
                <w:szCs w:val="20"/>
              </w:rPr>
              <w:t xml:space="preserve">Medio Magdalena</w:t>
            </w:r>
          </w:p>
        </w:tc>
      </w:tr>
      <w:tr>
        <w:tc>
          <w:tcPr>
            <w:shd w:fill="F1F8F6" w:val="clear"/>
          </w:tcPr>
          <w:p>
            <w:pPr>
              <w:spacing w:after="50" w:before="50"/>
              <w:jc w:val="left"/>
            </w:pPr>
            <w:r>
              <w:rPr>
                <w:sz w:val="20"/>
                <w:szCs w:val="20"/>
              </w:rPr>
              <w:t xml:space="preserve">Subzona hidrográfica</w:t>
            </w:r>
          </w:p>
        </w:tc>
        <w:tc>
          <w:tcPr>
            <w:shd w:fill="F1F8F6" w:val="clear"/>
          </w:tcPr>
          <w:p>
            <w:pPr>
              <w:spacing w:after="50" w:before="50"/>
              <w:jc w:val="left"/>
            </w:pPr>
            <w:r>
              <w:rPr>
                <w:sz w:val="20"/>
                <w:szCs w:val="20"/>
              </w:rPr>
              <w:t xml:space="preserve">2308</w:t>
            </w:r>
          </w:p>
        </w:tc>
        <w:tc>
          <w:tcPr>
            <w:shd w:fill="F1F8F6" w:val="clear"/>
          </w:tcPr>
          <w:p>
            <w:pPr>
              <w:spacing w:after="50" w:before="50"/>
              <w:jc w:val="left"/>
            </w:pPr>
            <w:r>
              <w:rPr>
                <w:sz w:val="20"/>
                <w:szCs w:val="20"/>
              </w:rPr>
              <w:t xml:space="preserve">Río Sogamoso</w:t>
            </w:r>
          </w:p>
        </w:tc>
      </w:tr>
      <w:tr>
        <w:tc>
          <w:tcPr>
            <w:shd w:fill="FFFFFF" w:val="clear"/>
          </w:tcPr>
          <w:p>
            <w:pPr>
              <w:spacing w:after="50" w:before="50"/>
              <w:jc w:val="left"/>
            </w:pPr>
            <w:r>
              <w:rPr>
                <w:sz w:val="20"/>
                <w:szCs w:val="20"/>
              </w:rPr>
              <w:t xml:space="preserve">Coordenadas del pozo</w:t>
            </w:r>
          </w:p>
        </w:tc>
        <w:tc>
          <w:tcPr>
            <w:shd w:fill="FFFFFF" w:val="clear"/>
          </w:tcPr>
          <w:p>
            <w:pPr>
              <w:spacing w:after="50" w:before="50"/>
              <w:jc w:val="left"/>
            </w:pPr>
            <w:r>
              <w:rPr>
                <w:sz w:val="20"/>
                <w:szCs w:val="20"/>
              </w:rPr>
              <w:t xml:space="preserve">Lat. 7,275152 / Long. -73,558266</w:t>
            </w:r>
          </w:p>
        </w:tc>
        <w:tc>
          <w:tcPr>
            <w:shd w:fill="FFFFFF" w:val="clear"/>
          </w:tcPr>
          <w:p>
            <w:pPr>
              <w:spacing w:after="50" w:before="50"/>
              <w:jc w:val="left"/>
            </w:pPr>
            <w:r>
              <w:rPr>
                <w:sz w:val="20"/>
                <w:szCs w:val="20"/>
              </w:rPr>
              <w:t xml:space="preserve">Sistema MAGNA-SIRGAS / Coordenadas decimales</w:t>
            </w:r>
          </w:p>
        </w:tc>
      </w:tr>
    </w:tbl>
    <w:p>
      <w:pPr>
        <w:spacing w:after="180" w:before="60"/>
        <w:jc w:val="left"/>
      </w:pPr>
      <w:r>
        <w:rPr>
          <w:i/>
          <w:iCs/>
          <w:color w:val="777777"/>
          <w:sz w:val="16"/>
          <w:szCs w:val="16"/>
        </w:rPr>
        <w:t xml:space="preserve">Fuente. IDEAM, Zonificación Hidrográfica de Colombia, 2013. Verificado con mapa de subzonas hidrográficas escala 1:500.000.</w:t>
      </w:r>
    </w:p>
    <w:p>
      <w:pPr>
        <w:spacing w:after="160" w:line="320"/>
        <w:jc w:val="both"/>
      </w:pPr>
      <w:r>
        <w:rPr>
          <w:sz w:val="22"/>
          <w:szCs w:val="22"/>
        </w:rPr>
        <w:t xml:space="preserve">La subzona hidrográfica 2308 — río Sogamoso — abarca una extensión aproximada de 23.700 km² según el IDEAM, y recibe aportes de afluentes provenientes de la cordillera Oriental y de las llanuras del piedemonte llanero santandereano. En el sector de Sabana de Torres, la red de drenaje superficial está conformada principalmente por caños de orden menor que alimentan al río Sogamoso en su tramo medio-bajo, antes de su desembocadura en el río Magdalena. Dado que el objeto de la concesión es un pozo profundo y no una captación superficial directa de la red hídrica perteneciente a esta subzona, el análisis de cuenca superficial cumple una función de contextualización regional de la recarga del sistema acuífero, cuya alimentación está estrechamente vinculada a las precipitaciones y a la infiltración que ocurre en las unidades geológicas presentes en la cuenca del Sogamoso.</w:t>
      </w:r>
    </w:p>
    <w:p>
      <w:pPr>
        <w:pStyle w:val="Heading2"/>
        <w:spacing w:after="140" w:before="240"/>
      </w:pPr>
      <w:r>
        <w:rPr>
          <w:b/>
          <w:bCs/>
          <w:color w:val="4A9D8E"/>
          <w:sz w:val="24"/>
          <w:szCs w:val="24"/>
        </w:rPr>
        <w:t xml:space="preserve">6.3. Descripción morfométrica de la cuenca del río Sogamoso (contexto regional)</w:t>
      </w:r>
    </w:p>
    <w:p>
      <w:pPr>
        <w:spacing w:after="160" w:line="320"/>
        <w:jc w:val="both"/>
      </w:pPr>
      <w:r>
        <w:rPr>
          <w:sz w:val="22"/>
          <w:szCs w:val="22"/>
        </w:rPr>
        <w:t xml:space="preserve">Los parámetros morfométricos de la subzona hidrográfica del río Sogamoso (2308), en el contexto del área donde se localiza el proyecto, se presentan a continuación con base en información del IDEAM y del POMCA del río Sogamoso, instrumento de ordenación y manejo de cuencas hidrográficas formulado conforme al Decreto 1640 de 2012. Se advierte que los valores morfométricos corresponden a la subzona hidrográfica completa, en razón a que no se cuenta en las fuentes disponibles con un estudio morfométrico de microcuenca a escala de detalle para el sector de Sabana de Torres. Los datos que se presentan son representativos del contexto regional en el que se inserta el proyecto y sustentan la descripción hidrológica general del área de influencia.</w:t>
      </w:r>
    </w:p>
    <w:p>
      <w:pPr>
        <w:spacing w:after="90" w:before="220"/>
        <w:jc w:val="center"/>
      </w:pPr>
      <w:r>
        <w:rPr>
          <w:b/>
          <w:bCs/>
          <w:sz w:val="20"/>
          <w:szCs w:val="20"/>
        </w:rPr>
        <w:t xml:space="preserve">Tabla 8. Parámetros morfométricos de la subzona hidrográfica del río Sogamoso (2308)</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Parámetro</w:t>
            </w:r>
          </w:p>
        </w:tc>
        <w:tc>
          <w:tcPr>
            <w:shd w:fill="4A9D8E" w:val="clear"/>
          </w:tcPr>
          <w:p>
            <w:pPr>
              <w:spacing w:after="50" w:before="50"/>
              <w:jc w:val="center"/>
            </w:pPr>
            <w:r>
              <w:rPr>
                <w:b/>
                <w:bCs/>
                <w:color w:val="FFFFFF"/>
                <w:sz w:val="20"/>
                <w:szCs w:val="20"/>
              </w:rPr>
              <w:t xml:space="preserve">Valor / Categoría</w:t>
            </w:r>
          </w:p>
        </w:tc>
        <w:tc>
          <w:tcPr>
            <w:shd w:fill="4A9D8E" w:val="clear"/>
          </w:tcPr>
          <w:p>
            <w:pPr>
              <w:spacing w:after="50" w:before="50"/>
              <w:jc w:val="center"/>
            </w:pPr>
            <w:r>
              <w:rPr>
                <w:b/>
                <w:bCs/>
                <w:color w:val="FFFFFF"/>
                <w:sz w:val="20"/>
                <w:szCs w:val="20"/>
              </w:rPr>
              <w:t xml:space="preserve">Fuente</w:t>
            </w:r>
          </w:p>
        </w:tc>
      </w:tr>
      <w:tr>
        <w:tc>
          <w:tcPr>
            <w:shd w:fill="F1F8F6" w:val="clear"/>
          </w:tcPr>
          <w:p>
            <w:pPr>
              <w:spacing w:after="50" w:before="50"/>
              <w:jc w:val="left"/>
            </w:pPr>
            <w:r>
              <w:rPr>
                <w:sz w:val="20"/>
                <w:szCs w:val="20"/>
              </w:rPr>
              <w:t xml:space="preserve">Área de la subzona hidrográfica</w:t>
            </w:r>
          </w:p>
        </w:tc>
        <w:tc>
          <w:tcPr>
            <w:shd w:fill="F1F8F6" w:val="clear"/>
          </w:tcPr>
          <w:p>
            <w:pPr>
              <w:spacing w:after="50" w:before="50"/>
              <w:jc w:val="left"/>
            </w:pPr>
            <w:r>
              <w:rPr>
                <w:sz w:val="20"/>
                <w:szCs w:val="20"/>
              </w:rPr>
              <w:t xml:space="preserve">≈ 23.700 km²</w:t>
            </w:r>
          </w:p>
        </w:tc>
        <w:tc>
          <w:tcPr>
            <w:shd w:fill="F1F8F6" w:val="clear"/>
          </w:tcPr>
          <w:p>
            <w:pPr>
              <w:spacing w:after="50" w:before="50"/>
              <w:jc w:val="left"/>
            </w:pPr>
            <w:r>
              <w:rPr>
                <w:sz w:val="20"/>
                <w:szCs w:val="20"/>
              </w:rPr>
              <w:t xml:space="preserve">IDEAM, Zonificación Hidrográfica de Colombia, 2013</w:t>
            </w:r>
          </w:p>
        </w:tc>
      </w:tr>
      <w:tr>
        <w:tc>
          <w:tcPr>
            <w:shd w:fill="FFFFFF" w:val="clear"/>
          </w:tcPr>
          <w:p>
            <w:pPr>
              <w:spacing w:after="50" w:before="50"/>
              <w:jc w:val="left"/>
            </w:pPr>
            <w:r>
              <w:rPr>
                <w:sz w:val="20"/>
                <w:szCs w:val="20"/>
              </w:rPr>
              <w:t xml:space="preserve">Perímetro de la subzona</w:t>
            </w:r>
          </w:p>
        </w:tc>
        <w:tc>
          <w:tcPr>
            <w:shd w:fill="FFFFFF" w:val="clear"/>
          </w:tcPr>
          <w:p>
            <w:pPr>
              <w:spacing w:after="50" w:before="50"/>
              <w:jc w:val="left"/>
            </w:pPr>
            <w:r>
              <w:rPr>
                <w:sz w:val="20"/>
                <w:szCs w:val="20"/>
              </w:rPr>
              <w:t xml:space="preserve">No reportado en las fuentes disponibles</w:t>
            </w:r>
          </w:p>
        </w:tc>
        <w:tc>
          <w:tcPr>
            <w:shd w:fill="FFFFFF" w:val="clear"/>
          </w:tcPr>
          <w:p>
            <w:pPr>
              <w:spacing w:after="50" w:before="50"/>
              <w:jc w:val="left"/>
            </w:pPr>
            <w:r>
              <w:rPr>
                <w:sz w:val="20"/>
                <w:szCs w:val="20"/>
              </w:rPr>
              <w:t xml:space="preserve">—</w:t>
            </w:r>
          </w:p>
        </w:tc>
      </w:tr>
      <w:tr>
        <w:tc>
          <w:tcPr>
            <w:shd w:fill="F1F8F6" w:val="clear"/>
          </w:tcPr>
          <w:p>
            <w:pPr>
              <w:spacing w:after="50" w:before="50"/>
              <w:jc w:val="left"/>
            </w:pPr>
            <w:r>
              <w:rPr>
                <w:sz w:val="20"/>
                <w:szCs w:val="20"/>
              </w:rPr>
              <w:t xml:space="preserve">Longitud del cauce principal (río Sogamoso)</w:t>
            </w:r>
          </w:p>
        </w:tc>
        <w:tc>
          <w:tcPr>
            <w:shd w:fill="F1F8F6" w:val="clear"/>
          </w:tcPr>
          <w:p>
            <w:pPr>
              <w:spacing w:after="50" w:before="50"/>
              <w:jc w:val="left"/>
            </w:pPr>
            <w:r>
              <w:rPr>
                <w:sz w:val="20"/>
                <w:szCs w:val="20"/>
              </w:rPr>
              <w:t xml:space="preserve">≈ 220 km</w:t>
            </w:r>
          </w:p>
        </w:tc>
        <w:tc>
          <w:tcPr>
            <w:shd w:fill="F1F8F6" w:val="clear"/>
          </w:tcPr>
          <w:p>
            <w:pPr>
              <w:spacing w:after="50" w:before="50"/>
              <w:jc w:val="left"/>
            </w:pPr>
            <w:r>
              <w:rPr>
                <w:sz w:val="20"/>
                <w:szCs w:val="20"/>
              </w:rPr>
              <w:t xml:space="preserve">IDEAM, 2013</w:t>
            </w:r>
          </w:p>
        </w:tc>
      </w:tr>
      <w:tr>
        <w:tc>
          <w:tcPr>
            <w:shd w:fill="FFFFFF" w:val="clear"/>
          </w:tcPr>
          <w:p>
            <w:pPr>
              <w:spacing w:after="50" w:before="50"/>
              <w:jc w:val="left"/>
            </w:pPr>
            <w:r>
              <w:rPr>
                <w:sz w:val="20"/>
                <w:szCs w:val="20"/>
              </w:rPr>
              <w:t xml:space="preserve">Pendiente media del cauce principal</w:t>
            </w:r>
          </w:p>
        </w:tc>
        <w:tc>
          <w:tcPr>
            <w:shd w:fill="FFFFFF" w:val="clear"/>
          </w:tcPr>
          <w:p>
            <w:pPr>
              <w:spacing w:after="50" w:before="50"/>
              <w:jc w:val="left"/>
            </w:pPr>
            <w:r>
              <w:rPr>
                <w:sz w:val="20"/>
                <w:szCs w:val="20"/>
              </w:rPr>
              <w:t xml:space="preserve">Baja a moderada (tramo bajo ≤ 1%)</w:t>
            </w:r>
          </w:p>
        </w:tc>
        <w:tc>
          <w:tcPr>
            <w:shd w:fill="FFFFFF" w:val="clear"/>
          </w:tcPr>
          <w:p>
            <w:pPr>
              <w:spacing w:after="50" w:before="50"/>
              <w:jc w:val="left"/>
            </w:pPr>
            <w:r>
              <w:rPr>
                <w:sz w:val="20"/>
                <w:szCs w:val="20"/>
              </w:rPr>
              <w:t xml:space="preserve">POMCA río Sogamoso</w:t>
            </w:r>
          </w:p>
        </w:tc>
      </w:tr>
      <w:tr>
        <w:tc>
          <w:tcPr>
            <w:shd w:fill="F1F8F6" w:val="clear"/>
          </w:tcPr>
          <w:p>
            <w:pPr>
              <w:spacing w:after="50" w:before="50"/>
              <w:jc w:val="left"/>
            </w:pPr>
            <w:r>
              <w:rPr>
                <w:sz w:val="20"/>
                <w:szCs w:val="20"/>
              </w:rPr>
              <w:t xml:space="preserve">Densidad de drenaje</w:t>
            </w:r>
          </w:p>
        </w:tc>
        <w:tc>
          <w:tcPr>
            <w:shd w:fill="F1F8F6" w:val="clear"/>
          </w:tcPr>
          <w:p>
            <w:pPr>
              <w:spacing w:after="50" w:before="50"/>
              <w:jc w:val="left"/>
            </w:pPr>
            <w:r>
              <w:rPr>
                <w:sz w:val="20"/>
                <w:szCs w:val="20"/>
              </w:rPr>
              <w:t xml:space="preserve">No reportada en las fuentes disponibles a escala de detalle</w:t>
            </w:r>
          </w:p>
        </w:tc>
        <w:tc>
          <w:tcPr>
            <w:shd w:fill="F1F8F6" w:val="clear"/>
          </w:tcPr>
          <w:p>
            <w:pPr>
              <w:spacing w:after="50" w:before="50"/>
              <w:jc w:val="left"/>
            </w:pPr>
            <w:r>
              <w:rPr>
                <w:sz w:val="20"/>
                <w:szCs w:val="20"/>
              </w:rPr>
              <w:t xml:space="preserve">—</w:t>
            </w:r>
          </w:p>
        </w:tc>
      </w:tr>
      <w:tr>
        <w:tc>
          <w:tcPr>
            <w:shd w:fill="FFFFFF" w:val="clear"/>
          </w:tcPr>
          <w:p>
            <w:pPr>
              <w:spacing w:after="50" w:before="50"/>
              <w:jc w:val="left"/>
            </w:pPr>
            <w:r>
              <w:rPr>
                <w:sz w:val="20"/>
                <w:szCs w:val="20"/>
              </w:rPr>
              <w:t xml:space="preserve">Coeficiente de compacidad (Gravelius)</w:t>
            </w:r>
          </w:p>
        </w:tc>
        <w:tc>
          <w:tcPr>
            <w:shd w:fill="FFFFFF" w:val="clear"/>
          </w:tcPr>
          <w:p>
            <w:pPr>
              <w:spacing w:after="50" w:before="50"/>
              <w:jc w:val="left"/>
            </w:pPr>
            <w:r>
              <w:rPr>
                <w:sz w:val="20"/>
                <w:szCs w:val="20"/>
              </w:rPr>
              <w:t xml:space="preserve">No reportado en las fuentes disponibles</w:t>
            </w:r>
          </w:p>
        </w:tc>
        <w:tc>
          <w:tcPr>
            <w:shd w:fill="FFFFFF" w:val="clear"/>
          </w:tcPr>
          <w:p>
            <w:pPr>
              <w:spacing w:after="50" w:before="50"/>
              <w:jc w:val="left"/>
            </w:pPr>
            <w:r>
              <w:rPr>
                <w:sz w:val="20"/>
                <w:szCs w:val="20"/>
              </w:rPr>
              <w:t xml:space="preserve">—</w:t>
            </w:r>
          </w:p>
        </w:tc>
      </w:tr>
      <w:tr>
        <w:tc>
          <w:tcPr>
            <w:shd w:fill="F1F8F6" w:val="clear"/>
          </w:tcPr>
          <w:p>
            <w:pPr>
              <w:spacing w:after="50" w:before="50"/>
              <w:jc w:val="left"/>
            </w:pPr>
            <w:r>
              <w:rPr>
                <w:sz w:val="20"/>
                <w:szCs w:val="20"/>
              </w:rPr>
              <w:t xml:space="preserve">Factor de forma (Horton)</w:t>
            </w:r>
          </w:p>
        </w:tc>
        <w:tc>
          <w:tcPr>
            <w:shd w:fill="F1F8F6" w:val="clear"/>
          </w:tcPr>
          <w:p>
            <w:pPr>
              <w:spacing w:after="50" w:before="50"/>
              <w:jc w:val="left"/>
            </w:pPr>
            <w:r>
              <w:rPr>
                <w:sz w:val="20"/>
                <w:szCs w:val="20"/>
              </w:rPr>
              <w:t xml:space="preserve">No reportado en las fuentes disponibles</w:t>
            </w:r>
          </w:p>
        </w:tc>
        <w:tc>
          <w:tcPr>
            <w:shd w:fill="F1F8F6" w:val="clear"/>
          </w:tcPr>
          <w:p>
            <w:pPr>
              <w:spacing w:after="50" w:before="50"/>
              <w:jc w:val="left"/>
            </w:pPr>
            <w:r>
              <w:rPr>
                <w:sz w:val="20"/>
                <w:szCs w:val="20"/>
              </w:rPr>
              <w:t xml:space="preserve">—</w:t>
            </w:r>
          </w:p>
        </w:tc>
      </w:tr>
      <w:tr>
        <w:tc>
          <w:tcPr>
            <w:shd w:fill="FFFFFF" w:val="clear"/>
          </w:tcPr>
          <w:p>
            <w:pPr>
              <w:spacing w:after="50" w:before="50"/>
              <w:jc w:val="left"/>
            </w:pPr>
            <w:r>
              <w:rPr>
                <w:sz w:val="20"/>
                <w:szCs w:val="20"/>
              </w:rPr>
              <w:t xml:space="preserve">Altitud media de la cuenca</w:t>
            </w:r>
          </w:p>
        </w:tc>
        <w:tc>
          <w:tcPr>
            <w:shd w:fill="FFFFFF" w:val="clear"/>
          </w:tcPr>
          <w:p>
            <w:pPr>
              <w:spacing w:after="50" w:before="50"/>
              <w:jc w:val="left"/>
            </w:pPr>
            <w:r>
              <w:rPr>
                <w:sz w:val="20"/>
                <w:szCs w:val="20"/>
              </w:rPr>
              <w:t xml:space="preserve">Variable; sector de Sabana de Torres: 100–200 m s. n. m.</w:t>
            </w:r>
          </w:p>
        </w:tc>
        <w:tc>
          <w:tcPr>
            <w:shd w:fill="FFFFFF" w:val="clear"/>
          </w:tcPr>
          <w:p>
            <w:pPr>
              <w:spacing w:after="50" w:before="50"/>
              <w:jc w:val="left"/>
            </w:pPr>
            <w:r>
              <w:rPr>
                <w:sz w:val="20"/>
                <w:szCs w:val="20"/>
              </w:rPr>
              <w:t xml:space="preserve">EOT Sabana de Torres / IGAC</w:t>
            </w:r>
          </w:p>
        </w:tc>
      </w:tr>
      <w:tr>
        <w:tc>
          <w:tcPr>
            <w:shd w:fill="F1F8F6" w:val="clear"/>
          </w:tcPr>
          <w:p>
            <w:pPr>
              <w:spacing w:after="50" w:before="50"/>
              <w:jc w:val="left"/>
            </w:pPr>
            <w:r>
              <w:rPr>
                <w:sz w:val="20"/>
                <w:szCs w:val="20"/>
              </w:rPr>
              <w:t xml:space="preserve">Régimen de precipitación media anual</w:t>
            </w:r>
          </w:p>
        </w:tc>
        <w:tc>
          <w:tcPr>
            <w:shd w:fill="F1F8F6" w:val="clear"/>
          </w:tcPr>
          <w:p>
            <w:pPr>
              <w:spacing w:after="50" w:before="50"/>
              <w:jc w:val="left"/>
            </w:pPr>
            <w:r>
              <w:rPr>
                <w:sz w:val="20"/>
                <w:szCs w:val="20"/>
              </w:rPr>
              <w:t xml:space="preserve">1.800–2.600 mm (sector Magdalena Medio santandereano)</w:t>
            </w:r>
          </w:p>
        </w:tc>
        <w:tc>
          <w:tcPr>
            <w:shd w:fill="F1F8F6" w:val="clear"/>
          </w:tcPr>
          <w:p>
            <w:pPr>
              <w:spacing w:after="50" w:before="50"/>
              <w:jc w:val="left"/>
            </w:pPr>
            <w:r>
              <w:rPr>
                <w:sz w:val="20"/>
                <w:szCs w:val="20"/>
              </w:rPr>
              <w:t xml:space="preserve">IDEAM, Atlas Climatológico de Colombia</w:t>
            </w:r>
          </w:p>
        </w:tc>
      </w:tr>
    </w:tbl>
    <w:p>
      <w:pPr>
        <w:spacing w:after="180" w:before="60"/>
        <w:jc w:val="left"/>
      </w:pPr>
      <w:r>
        <w:rPr>
          <w:i/>
          <w:iCs/>
          <w:color w:val="777777"/>
          <w:sz w:val="16"/>
          <w:szCs w:val="16"/>
        </w:rPr>
        <w:t xml:space="preserve">Fuente. IDEAM (2013); POMCA río Sogamoso; EOT municipio de Sabana de Torres. Los valores marcados como 'no reportado' corresponden a parámetros no disponibles en las fuentes consultadas a la escala del proyecto.</w:t>
      </w:r>
    </w:p>
    <w:p>
      <w:pPr>
        <w:pStyle w:val="Heading2"/>
        <w:spacing w:after="140" w:before="240"/>
      </w:pPr>
      <w:r>
        <w:rPr>
          <w:b/>
          <w:bCs/>
          <w:color w:val="4A9D8E"/>
          <w:sz w:val="24"/>
          <w:szCs w:val="24"/>
        </w:rPr>
        <w:t xml:space="preserve">6.4. Cobertura vegetal y estado del ecosistema en el área de influencia</w:t>
      </w:r>
    </w:p>
    <w:p>
      <w:pPr>
        <w:spacing w:after="160" w:line="320"/>
        <w:jc w:val="both"/>
      </w:pPr>
      <w:r>
        <w:rPr>
          <w:sz w:val="22"/>
          <w:szCs w:val="22"/>
        </w:rPr>
        <w:t xml:space="preserve">El municipio de Sabana de Torres se ubica en la región natural del Magdalena Medio, caracterizada por una matriz de pastizales para uso ganadero intercalada con relictos de bosque secundario, rastrojos y vegetación riparia asociada a los cuerpos hídricos. De acuerdo con la información consignada en el Esquema de Ordenamiento Territorial (EOT) del municipio, la vereda Aguas Claras presenta coberturas dominadas por pastos y cultivos de uso agropecuario, con presencia de núcleos de actividad avícola que constituyen usos del suelo consolidados en el territorio. El punto de inspección de campo correspondiente al ítem de flora y fauna registra la categoría 'no aplica', lo que es consistente con la caracterización de un predio de uso industrial-pecuario intensivo donde las coberturas naturales han sido transformadas por la actividad productiva. No se reporta superposición con áreas de especial importancia ecológica en las fuentes disponibles; no obstante, el punto de inspección 17 del levantamiento de campo señala que debe realizarse el análisis de restricciones ambientales en el Estudio de Factibilidad para validar la ausencia de áreas protegidas en el área de influencia del pozo.</w:t>
      </w:r>
    </w:p>
    <w:p>
      <w:pPr>
        <w:pStyle w:val="Heading2"/>
        <w:spacing w:after="140" w:before="240"/>
      </w:pPr>
      <w:r>
        <w:rPr>
          <w:b/>
          <w:bCs/>
          <w:color w:val="4A9D8E"/>
          <w:sz w:val="24"/>
          <w:szCs w:val="24"/>
        </w:rPr>
        <w:t xml:space="preserve">6.5. Estado del POMCA de la cuenca del río Sogamoso</w:t>
      </w:r>
    </w:p>
    <w:p>
      <w:pPr>
        <w:spacing w:after="160" w:line="320"/>
        <w:jc w:val="both"/>
      </w:pPr>
      <w:r>
        <w:rPr>
          <w:sz w:val="22"/>
          <w:szCs w:val="22"/>
        </w:rPr>
        <w:t xml:space="preserve">La cuenca del río Sogamoso cuenta con un Plan de Ordenación y Manejo de Cuenca Hidrográfica (POMCA) formulado e implementado en el marco de las competencias de las autoridades ambientales con jurisdicción en la cuenca, de conformidad con el Decreto 1640 de 2012. Este instrumento constituye la norma de mayor jerarquía para la planificación del uso y aprovechamiento del recurso hídrico en la subzona 2308. El proyecto se localiza dentro del área de influencia del POMCA del río Sogamoso, por lo cual las determinantes ambientales establecidas en dicho instrumento son de obligatorio cumplimiento para cualquier trámite de concesión de aguas que se adelante en esta cuenca. Las disposiciones del POMCA en materia de índices de escasez, oferta hídrica regulada y zonas de recarga de acuíferos son referentes técnicos que respaldan la viabilidad del aprovechamiento subterráneo planteado, en tanto el pozo profundo de la granja avícola Jamaica se sitúa en una zona de llanura aluvial con condiciones de recarga favorable según la geología regional del valle del Magdalena Medio.</w:t>
      </w:r>
    </w:p>
    <w:p>
      <w:pPr>
        <w:pStyle w:val="Heading2"/>
        <w:spacing w:after="140" w:before="240"/>
      </w:pPr>
      <w:r>
        <w:rPr>
          <w:b/>
          <w:bCs/>
          <w:color w:val="4A9D8E"/>
          <w:sz w:val="24"/>
          <w:szCs w:val="24"/>
        </w:rPr>
        <w:t xml:space="preserve">6.6. Zonificación hidrogeológica del área de captación</w:t>
      </w:r>
    </w:p>
    <w:p>
      <w:pPr>
        <w:spacing w:after="160" w:line="320"/>
        <w:jc w:val="both"/>
      </w:pPr>
      <w:r>
        <w:rPr>
          <w:sz w:val="22"/>
          <w:szCs w:val="22"/>
        </w:rPr>
        <w:t xml:space="preserve">En términos del contexto regional, el municipio de Sabana de Torres se enmarca dentro del sistema de llanuras aluviales del valle del Magdalena Medio, sector donde se reconoce la existencia de depósitos cuaternarios de origen fluvial y fluvio-lacustre con potencial como acuíferos de tipo libre o semiconfinado, conforme a la descripción general de la geología del piedemonte oriental del Magdalena consignada en documentos técnicos del IDEAM y del SGC para la región. No obstante, la clasificación precisa de la unidad hidrogeológica explotada por el pozo, su nombre oficial dentro de la nomenclatura del SGC, las características hidráulicas del acuífero (conductividad hidráulica, transmisividad, coeficiente de almacenamiento) y la profundidad del nivel estático no son reportados en las fuentes disponibles para esta caracterización y deberán ser aportados mediante prueba de bombeo y el mapa hidrogeológico correspondiente, como parte de los estudios complementarios del trámite de concesión ante la CAS.</w:t>
      </w:r>
    </w:p>
    <w:p>
      <w:pPr>
        <w:spacing w:after="160" w:line="320"/>
        <w:jc w:val="both"/>
      </w:pPr>
      <w:r>
        <w:rPr>
          <w:sz w:val="22"/>
          <w:szCs w:val="22"/>
        </w:rPr>
        <w:t xml:space="preserve">La fuente hídrica subterránea registrada en el levantamiento de campo (punto de inspección 4, ubicado en las coordenadas del pozo) corresponde a un pozo profundo cuya conducción se realiza mediante tubería PVC de 4 pulgadas, según lo consignado en el punto de inspección 11. El sistema de almacenamiento consta de tres tanques con capacidad unitaria de 100 m³ cada uno, para un volumen total almacenado de 300 m³, conforme al punto de inspección 12. La medición del caudal extraído se realiza mediante medidor instalado en el punto de captación del pozo, según el punto de inspección 14. Estas características de infraestructura son coherentes con un aprovechamiento de acuífero con capacidad de suministro continuo, condición que deberá ser verificada y detallada en la prueba de bombeo y el informe hidrogeológico que acompañe la solicitud de concesión.</w:t>
      </w:r>
    </w:p>
    <w:p>
      <w:r>
        <w:br w:type="page"/>
      </w:r>
    </w:p>
    <w:p>
      <w:pPr>
        <w:pStyle w:val="Heading1"/>
        <w:spacing w:after="200" w:before="360"/>
      </w:pPr>
      <w:r>
        <w:rPr>
          <w:b/>
          <w:bCs/>
          <w:color w:val="1F2937"/>
          <w:sz w:val="28"/>
          <w:szCs w:val="28"/>
        </w:rPr>
        <w:t xml:space="preserve">7. CLIMATOLOGÍA E HIDROLOGÍA DE LA ZONA</w:t>
      </w:r>
    </w:p>
    <w:p>
      <w:pPr>
        <w:pStyle w:val="Heading2"/>
        <w:spacing w:after="140" w:before="240"/>
      </w:pPr>
      <w:r>
        <w:rPr>
          <w:b/>
          <w:bCs/>
          <w:color w:val="4A9D8E"/>
          <w:sz w:val="24"/>
          <w:szCs w:val="24"/>
        </w:rPr>
        <w:t xml:space="preserve">7.1. Contextualización climática regional</w:t>
      </w:r>
    </w:p>
    <w:p>
      <w:pPr>
        <w:spacing w:after="160" w:line="320"/>
        <w:jc w:val="both"/>
      </w:pPr>
      <w:r>
        <w:rPr>
          <w:sz w:val="22"/>
          <w:szCs w:val="22"/>
        </w:rPr>
        <w:t xml:space="preserve">El predio donde se desarrolla la Granja Avícola Jamaica se localiza en la vereda Aguas Claras, municipio de Sabana de Torres, departamento de Santander, a una latitud de 7,275152 y longitud de -73,558266. Sabana de Torres se inscribe en la gran unidad climática del valle medio del río Magdalena, caracterizada por un régimen bimodal de precipitación con dos períodos húmedos y dos períodos relativamente secos a lo largo del año calendario. La posición geográfica del municipio, a una altitud aproximada de 75 metros sobre el nivel del mar, determina condiciones de clima cálido húmedo, con temperaturas medias elevadas, alta humedad relativa y precipitaciones anuales que corresponden al patrón de la planicie aluvial del Magdalena Medio, siendo este uno de los sectores de mayor pluviosidad relativa de la región nororiental colombiana.</w:t>
      </w:r>
    </w:p>
    <w:p>
      <w:pPr>
        <w:spacing w:after="160" w:line="320"/>
        <w:jc w:val="both"/>
      </w:pPr>
      <w:r>
        <w:rPr>
          <w:sz w:val="22"/>
          <w:szCs w:val="22"/>
        </w:rPr>
        <w:t xml:space="preserve">El régimen bimodal de precipitación típico de esta zona establece dos temporadas lluviosas principales: la primera entre los meses de marzo y mayo, y la segunda entre septiembre y noviembre; y dos temporadas de menor precipitación relativa: la primera entre diciembre y febrero, y la segunda entre junio y agosto. Esta distribución influye directamente sobre la recarga de los acuíferos que abastecen el pozo profundo de captación del proyecto, dado que los periodos de mayor infiltración efectiva coinciden con los meses de alta pluviosidad, mientras que durante los periodos secos la presión sobre el recurso subterráneo se incrementa ante la reducción de la recarga activa.</w:t>
      </w:r>
    </w:p>
    <w:p>
      <w:pPr>
        <w:pStyle w:val="Heading2"/>
        <w:spacing w:after="140" w:before="240"/>
      </w:pPr>
      <w:r>
        <w:rPr>
          <w:b/>
          <w:bCs/>
          <w:color w:val="4A9D8E"/>
          <w:sz w:val="24"/>
          <w:szCs w:val="24"/>
        </w:rPr>
        <w:t xml:space="preserve">7.2. Parámetros climáticos de referencia</w:t>
      </w:r>
    </w:p>
    <w:p>
      <w:pPr>
        <w:spacing w:after="160" w:line="320"/>
        <w:jc w:val="both"/>
      </w:pPr>
      <w:r>
        <w:rPr>
          <w:sz w:val="22"/>
          <w:szCs w:val="22"/>
        </w:rPr>
        <w:t xml:space="preserve">De acuerdo con la información climática disponible para el municipio de Sabana de Torres y su área de influencia en la subregión del Magdalena Medio santandereano, los principales parámetros climatológicos que caracterizan el entorno del proyecto corresponden al rango típico de la zona de vida bosque húmedo tropical (bh-T), según la clasificación de Holdridge. La temperatura media anual oscila en el rango de 27 °C a 29 °C, sin variaciones estacionales marcadas dada la baja altitud del municipio. La humedad relativa media se mantiene por encima del 80% durante la mayor parte del año, con valores máximos en los períodos lluviosos. El brillo solar presenta valores medios anuales entre 1.600 y 2.000 horas de sol anuales, mientras que la evapotranspiración potencial (ETP) calculada por el método de Penman-Monteith supera los 1.400 mm/año en condiciones típicas de la región.</w:t>
      </w:r>
    </w:p>
    <w:p>
      <w:pPr>
        <w:pStyle w:val="Heading2"/>
        <w:spacing w:after="140" w:before="240"/>
      </w:pPr>
      <w:r>
        <w:rPr>
          <w:b/>
          <w:bCs/>
          <w:color w:val="4A9D8E"/>
          <w:sz w:val="24"/>
          <w:szCs w:val="24"/>
        </w:rPr>
        <w:t xml:space="preserve">7.3. Régimen hidrológico y oferta hídrica subterránea</w:t>
      </w:r>
    </w:p>
    <w:p>
      <w:pPr>
        <w:spacing w:after="160" w:line="320"/>
        <w:jc w:val="both"/>
      </w:pPr>
      <w:r>
        <w:rPr>
          <w:sz w:val="22"/>
          <w:szCs w:val="22"/>
        </w:rPr>
        <w:t xml:space="preserve">El municipio de Sabana de Torres se localiza sobre la planicie aluvial del río Sogamoso y su zona de influencia en la cuenca media del río Magdalena, perteneciente a la subzona hidrográfica del Sogamoso según la codificación del IDEAM (código 2307 de la zonificación hidrográfica nacional). Esta posición determina la existencia de un sistema acuífero aluvial de carácter libre a semiconfinado, alimentado principalmente por la infiltración directa de las precipitaciones sobre la llanura y por la recarga lateral proveniente de los sistemas fluviales adyacentes. El pozo profundo de captación del proyecto aprovecha este sistema acuífero, cuya productividad en la región del Magdalena Medio santandereano es técnicamente reconocida por la presencia de materiales arenosos y gravillosos de alta permeabilidad en el subsuelo aluvial.</w:t>
      </w:r>
    </w:p>
    <w:p>
      <w:pPr>
        <w:spacing w:after="160" w:line="320"/>
        <w:jc w:val="both"/>
      </w:pPr>
      <w:r>
        <w:rPr>
          <w:sz w:val="22"/>
          <w:szCs w:val="22"/>
        </w:rPr>
        <w:t xml:space="preserve">La oferta hídrica subterránea disponible en el área de influencia del proyecto está determinada por el balance entre la recarga anual del acuífero y las extracciones actuales autorizadas. La recarga efectiva del acuífero se estima a partir de la fracción de la precipitación total que supera la evapotranspiración real y la retención capilar del suelo, proceso que en la zona de vida bh-T de la llanura aluvial del Magdalena Medio genera tasas de infiltración significativas durante los períodos húmedos. El proyecto cuenta con un reservorio de aguas lluvias como fuente hídrica alterna, según lo evidenciado en el levantamiento de campo, lo cual contribuye al aprovechamiento complementario del recurso pluvial y reduce la presión sobre el acuífero subterráneo en períodos de demanda elevada.</w:t>
      </w:r>
    </w:p>
    <w:p>
      <w:pPr>
        <w:pStyle w:val="Heading2"/>
        <w:spacing w:after="140" w:before="240"/>
      </w:pPr>
      <w:r>
        <w:rPr>
          <w:b/>
          <w:bCs/>
          <w:color w:val="4A9D8E"/>
          <w:sz w:val="24"/>
          <w:szCs w:val="24"/>
        </w:rPr>
        <w:t xml:space="preserve">7.4. Influencia de los fenómenos El Niño y La Niña (ENOS) sobre la oferta hídrica</w:t>
      </w:r>
    </w:p>
    <w:p>
      <w:pPr>
        <w:spacing w:after="160" w:line="320"/>
        <w:jc w:val="both"/>
      </w:pPr>
      <w:r>
        <w:rPr>
          <w:sz w:val="22"/>
          <w:szCs w:val="22"/>
        </w:rPr>
        <w:t xml:space="preserve">El Fenómeno El Niño - Oscilación del Sur (ENOS) ejerce una influencia determinante sobre el régimen hidroclimatológico de la cuenca del Magdalena Medio y, por ende, sobre la recarga de los acuíferos del área de influencia del proyecto. Durante las fases cálidas del ENOS (El Niño), el municipio de Sabana de Torres experimenta una reducción significativa de la precipitación media mensual respecto a los valores históricos multianuales, lo que conlleva una disminución de la recarga efectiva del acuífero aluvial, un descenso de los niveles freáticos y un potencial incremento de la concentración de los constituyentes disueltos en el agua subterránea. En consecuencia, durante eventos El Niño de intensidad moderada a fuerte, la disponibilidad efectiva del recurso subterráneo puede reducirse, lo cual exige al titular mantener prácticas rigurosas de uso eficiente y considerar la operación del reservorio de aguas lluvias como fuente de respaldo.</w:t>
      </w:r>
    </w:p>
    <w:p>
      <w:pPr>
        <w:spacing w:after="160" w:line="320"/>
        <w:jc w:val="both"/>
      </w:pPr>
      <w:r>
        <w:rPr>
          <w:sz w:val="22"/>
          <w:szCs w:val="22"/>
        </w:rPr>
        <w:t xml:space="preserve">Por su parte, durante las fases frías del ENOS (La Niña), la precipitación en la región del Magdalena Medio tiende a incrementarse por encima de los promedios históricos, favoreciendo la recarga acelerada del acuífero, la elevación de los niveles freáticos y el aumento de la disponibilidad hídrica subterránea. No obstante, este escenario también conlleva riesgos de inundaciones en la llanura aluvial, posible afectación de la calidad del agua subterránea por dilución o infiltración de aguas superficiales contaminadas, y saturación de los suelos que puede limitar la infiltración efectiva en determinados períodos. El titular debe considerar estos escenarios en la planificación del uso del recurso y en la actualización periódica del presente PUEAA, incorporando los alertas tempranos emitidos por el IDEAM a través del Sistema de Alertas Tempranas ante la Variabilidad Climática.</w:t>
      </w:r>
    </w:p>
    <w:p>
      <w:pPr>
        <w:pStyle w:val="Heading2"/>
        <w:spacing w:after="140" w:before="240"/>
      </w:pPr>
      <w:r>
        <w:rPr>
          <w:b/>
          <w:bCs/>
          <w:color w:val="4A9D8E"/>
          <w:sz w:val="24"/>
          <w:szCs w:val="24"/>
        </w:rPr>
        <w:t xml:space="preserve">7.5. Tabla resumen de parámetros climáticos regionales</w:t>
      </w:r>
    </w:p>
    <w:p>
      <w:pPr>
        <w:spacing w:after="90" w:before="220"/>
        <w:jc w:val="center"/>
      </w:pPr>
      <w:r>
        <w:rPr>
          <w:b/>
          <w:bCs/>
          <w:sz w:val="20"/>
          <w:szCs w:val="20"/>
        </w:rPr>
        <w:t xml:space="preserve">Tabla 9. Parámetros climáticos representativos del área de influencia del proyecto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Parámetro climático</w:t>
            </w:r>
          </w:p>
        </w:tc>
        <w:tc>
          <w:tcPr>
            <w:shd w:fill="4A9D8E" w:val="clear"/>
          </w:tcPr>
          <w:p>
            <w:pPr>
              <w:spacing w:after="50" w:before="50"/>
              <w:jc w:val="center"/>
            </w:pPr>
            <w:r>
              <w:rPr>
                <w:b/>
                <w:bCs/>
                <w:color w:val="FFFFFF"/>
                <w:sz w:val="20"/>
                <w:szCs w:val="20"/>
              </w:rPr>
              <w:t xml:space="preserve">Valor / Rango típico</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Observación</w:t>
            </w:r>
          </w:p>
        </w:tc>
      </w:tr>
      <w:tr>
        <w:tc>
          <w:tcPr>
            <w:shd w:fill="F1F8F6" w:val="clear"/>
          </w:tcPr>
          <w:p>
            <w:pPr>
              <w:spacing w:after="50" w:before="50"/>
              <w:jc w:val="left"/>
            </w:pPr>
            <w:r>
              <w:rPr>
                <w:sz w:val="20"/>
                <w:szCs w:val="20"/>
              </w:rPr>
              <w:t xml:space="preserve">Temperatura media anual</w:t>
            </w:r>
          </w:p>
        </w:tc>
        <w:tc>
          <w:tcPr>
            <w:shd w:fill="F1F8F6" w:val="clear"/>
          </w:tcPr>
          <w:p>
            <w:pPr>
              <w:spacing w:after="50" w:before="50"/>
              <w:jc w:val="left"/>
            </w:pPr>
            <w:r>
              <w:rPr>
                <w:sz w:val="20"/>
                <w:szCs w:val="20"/>
              </w:rPr>
              <w:t xml:space="preserve">27 – 29</w:t>
            </w:r>
          </w:p>
        </w:tc>
        <w:tc>
          <w:tcPr>
            <w:shd w:fill="F1F8F6" w:val="clear"/>
          </w:tcPr>
          <w:p>
            <w:pPr>
              <w:spacing w:after="50" w:before="50"/>
              <w:jc w:val="left"/>
            </w:pPr>
            <w:r>
              <w:rPr>
                <w:sz w:val="20"/>
                <w:szCs w:val="20"/>
              </w:rPr>
              <w:t xml:space="preserve">°C</w:t>
            </w:r>
          </w:p>
        </w:tc>
        <w:tc>
          <w:tcPr>
            <w:shd w:fill="F1F8F6" w:val="clear"/>
          </w:tcPr>
          <w:p>
            <w:pPr>
              <w:spacing w:after="50" w:before="50"/>
              <w:jc w:val="left"/>
            </w:pPr>
            <w:r>
              <w:rPr>
                <w:sz w:val="20"/>
                <w:szCs w:val="20"/>
              </w:rPr>
              <w:t xml:space="preserve">Clima cálido húmedo; baja variación estacional</w:t>
            </w:r>
          </w:p>
        </w:tc>
      </w:tr>
      <w:tr>
        <w:tc>
          <w:tcPr>
            <w:shd w:fill="FFFFFF" w:val="clear"/>
          </w:tcPr>
          <w:p>
            <w:pPr>
              <w:spacing w:after="50" w:before="50"/>
              <w:jc w:val="left"/>
            </w:pPr>
            <w:r>
              <w:rPr>
                <w:sz w:val="20"/>
                <w:szCs w:val="20"/>
              </w:rPr>
              <w:t xml:space="preserve">Precipitación media anual</w:t>
            </w:r>
          </w:p>
        </w:tc>
        <w:tc>
          <w:tcPr>
            <w:shd w:fill="FFFFFF" w:val="clear"/>
          </w:tcPr>
          <w:p>
            <w:pPr>
              <w:spacing w:after="50" w:before="50"/>
              <w:jc w:val="left"/>
            </w:pPr>
            <w:r>
              <w:rPr>
                <w:sz w:val="20"/>
                <w:szCs w:val="20"/>
              </w:rPr>
              <w:t xml:space="preserve">Por confirmar con serie IDEAM</w:t>
            </w:r>
          </w:p>
        </w:tc>
        <w:tc>
          <w:tcPr>
            <w:shd w:fill="FFFFFF" w:val="clear"/>
          </w:tcPr>
          <w:p>
            <w:pPr>
              <w:spacing w:after="50" w:before="50"/>
              <w:jc w:val="left"/>
            </w:pPr>
            <w:r>
              <w:rPr>
                <w:sz w:val="20"/>
                <w:szCs w:val="20"/>
              </w:rPr>
              <w:t xml:space="preserve">mm/año</w:t>
            </w:r>
          </w:p>
        </w:tc>
        <w:tc>
          <w:tcPr>
            <w:shd w:fill="FFFFFF" w:val="clear"/>
          </w:tcPr>
          <w:p>
            <w:pPr>
              <w:spacing w:after="50" w:before="50"/>
              <w:jc w:val="left"/>
            </w:pPr>
            <w:r>
              <w:rPr>
                <w:sz w:val="20"/>
                <w:szCs w:val="20"/>
              </w:rPr>
              <w:t xml:space="preserve">Ver alerta de datos faltantes</w:t>
            </w:r>
          </w:p>
        </w:tc>
      </w:tr>
      <w:tr>
        <w:tc>
          <w:tcPr>
            <w:shd w:fill="F1F8F6" w:val="clear"/>
          </w:tcPr>
          <w:p>
            <w:pPr>
              <w:spacing w:after="50" w:before="50"/>
              <w:jc w:val="left"/>
            </w:pPr>
            <w:r>
              <w:rPr>
                <w:sz w:val="20"/>
                <w:szCs w:val="20"/>
              </w:rPr>
              <w:t xml:space="preserve">Humedad relativa media</w:t>
            </w:r>
          </w:p>
        </w:tc>
        <w:tc>
          <w:tcPr>
            <w:shd w:fill="F1F8F6" w:val="clear"/>
          </w:tcPr>
          <w:p>
            <w:pPr>
              <w:spacing w:after="50" w:before="50"/>
              <w:jc w:val="left"/>
            </w:pPr>
            <w:r>
              <w:rPr>
                <w:sz w:val="20"/>
                <w:szCs w:val="20"/>
              </w:rPr>
              <w:t xml:space="preserve">&gt; 80</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Máximos en períodos lluviosos</w:t>
            </w:r>
          </w:p>
        </w:tc>
      </w:tr>
      <w:tr>
        <w:tc>
          <w:tcPr>
            <w:shd w:fill="FFFFFF" w:val="clear"/>
          </w:tcPr>
          <w:p>
            <w:pPr>
              <w:spacing w:after="50" w:before="50"/>
              <w:jc w:val="left"/>
            </w:pPr>
            <w:r>
              <w:rPr>
                <w:sz w:val="20"/>
                <w:szCs w:val="20"/>
              </w:rPr>
              <w:t xml:space="preserve">Brillo solar medio anual</w:t>
            </w:r>
          </w:p>
        </w:tc>
        <w:tc>
          <w:tcPr>
            <w:shd w:fill="FFFFFF" w:val="clear"/>
          </w:tcPr>
          <w:p>
            <w:pPr>
              <w:spacing w:after="50" w:before="50"/>
              <w:jc w:val="left"/>
            </w:pPr>
            <w:r>
              <w:rPr>
                <w:sz w:val="20"/>
                <w:szCs w:val="20"/>
              </w:rPr>
              <w:t xml:space="preserve">1.600 – 2.000</w:t>
            </w:r>
          </w:p>
        </w:tc>
        <w:tc>
          <w:tcPr>
            <w:shd w:fill="FFFFFF" w:val="clear"/>
          </w:tcPr>
          <w:p>
            <w:pPr>
              <w:spacing w:after="50" w:before="50"/>
              <w:jc w:val="left"/>
            </w:pPr>
            <w:r>
              <w:rPr>
                <w:sz w:val="20"/>
                <w:szCs w:val="20"/>
              </w:rPr>
              <w:t xml:space="preserve">h/año</w:t>
            </w:r>
          </w:p>
        </w:tc>
        <w:tc>
          <w:tcPr>
            <w:shd w:fill="FFFFFF" w:val="clear"/>
          </w:tcPr>
          <w:p>
            <w:pPr>
              <w:spacing w:after="50" w:before="50"/>
              <w:jc w:val="left"/>
            </w:pPr>
            <w:r>
              <w:rPr>
                <w:sz w:val="20"/>
                <w:szCs w:val="20"/>
              </w:rPr>
              <w:t xml:space="preserve">Rango típico llanura aluvial Magdalena Medio</w:t>
            </w:r>
          </w:p>
        </w:tc>
      </w:tr>
      <w:tr>
        <w:tc>
          <w:tcPr>
            <w:shd w:fill="F1F8F6" w:val="clear"/>
          </w:tcPr>
          <w:p>
            <w:pPr>
              <w:spacing w:after="50" w:before="50"/>
              <w:jc w:val="left"/>
            </w:pPr>
            <w:r>
              <w:rPr>
                <w:sz w:val="20"/>
                <w:szCs w:val="20"/>
              </w:rPr>
              <w:t xml:space="preserve">Evapotranspiración potencial (ETP)</w:t>
            </w:r>
          </w:p>
        </w:tc>
        <w:tc>
          <w:tcPr>
            <w:shd w:fill="F1F8F6" w:val="clear"/>
          </w:tcPr>
          <w:p>
            <w:pPr>
              <w:spacing w:after="50" w:before="50"/>
              <w:jc w:val="left"/>
            </w:pPr>
            <w:r>
              <w:rPr>
                <w:sz w:val="20"/>
                <w:szCs w:val="20"/>
              </w:rPr>
              <w:t xml:space="preserve">&gt; 1.400</w:t>
            </w:r>
          </w:p>
        </w:tc>
        <w:tc>
          <w:tcPr>
            <w:shd w:fill="F1F8F6" w:val="clear"/>
          </w:tcPr>
          <w:p>
            <w:pPr>
              <w:spacing w:after="50" w:before="50"/>
              <w:jc w:val="left"/>
            </w:pPr>
            <w:r>
              <w:rPr>
                <w:sz w:val="20"/>
                <w:szCs w:val="20"/>
              </w:rPr>
              <w:t xml:space="preserve">mm/año</w:t>
            </w:r>
          </w:p>
        </w:tc>
        <w:tc>
          <w:tcPr>
            <w:shd w:fill="F1F8F6" w:val="clear"/>
          </w:tcPr>
          <w:p>
            <w:pPr>
              <w:spacing w:after="50" w:before="50"/>
              <w:jc w:val="left"/>
            </w:pPr>
            <w:r>
              <w:rPr>
                <w:sz w:val="20"/>
                <w:szCs w:val="20"/>
              </w:rPr>
              <w:t xml:space="preserve">Método Penman-Monteith</w:t>
            </w:r>
          </w:p>
        </w:tc>
      </w:tr>
      <w:tr>
        <w:tc>
          <w:tcPr>
            <w:shd w:fill="FFFFFF" w:val="clear"/>
          </w:tcPr>
          <w:p>
            <w:pPr>
              <w:spacing w:after="50" w:before="50"/>
              <w:jc w:val="left"/>
            </w:pPr>
            <w:r>
              <w:rPr>
                <w:sz w:val="20"/>
                <w:szCs w:val="20"/>
              </w:rPr>
              <w:t xml:space="preserve">Régimen de precipitación</w:t>
            </w:r>
          </w:p>
        </w:tc>
        <w:tc>
          <w:tcPr>
            <w:shd w:fill="FFFFFF" w:val="clear"/>
          </w:tcPr>
          <w:p>
            <w:pPr>
              <w:spacing w:after="50" w:before="50"/>
              <w:jc w:val="left"/>
            </w:pPr>
            <w:r>
              <w:rPr>
                <w:sz w:val="20"/>
                <w:szCs w:val="20"/>
              </w:rPr>
              <w:t xml:space="preserve">Bimodal</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Dos períodos húmedos: mar-may y sep-nov</w:t>
            </w:r>
          </w:p>
        </w:tc>
      </w:tr>
      <w:tr>
        <w:tc>
          <w:tcPr>
            <w:shd w:fill="F1F8F6" w:val="clear"/>
          </w:tcPr>
          <w:p>
            <w:pPr>
              <w:spacing w:after="50" w:before="50"/>
              <w:jc w:val="left"/>
            </w:pPr>
            <w:r>
              <w:rPr>
                <w:sz w:val="20"/>
                <w:szCs w:val="20"/>
              </w:rPr>
              <w:t xml:space="preserve">Altitud media del predio</w:t>
            </w:r>
          </w:p>
        </w:tc>
        <w:tc>
          <w:tcPr>
            <w:shd w:fill="F1F8F6" w:val="clear"/>
          </w:tcPr>
          <w:p>
            <w:pPr>
              <w:spacing w:after="50" w:before="50"/>
              <w:jc w:val="left"/>
            </w:pPr>
            <w:r>
              <w:rPr>
                <w:sz w:val="20"/>
                <w:szCs w:val="20"/>
              </w:rPr>
              <w:t xml:space="preserve">≈ 75</w:t>
            </w:r>
          </w:p>
        </w:tc>
        <w:tc>
          <w:tcPr>
            <w:shd w:fill="F1F8F6" w:val="clear"/>
          </w:tcPr>
          <w:p>
            <w:pPr>
              <w:spacing w:after="50" w:before="50"/>
              <w:jc w:val="left"/>
            </w:pPr>
            <w:r>
              <w:rPr>
                <w:sz w:val="20"/>
                <w:szCs w:val="20"/>
              </w:rPr>
              <w:t xml:space="preserve">m s. n. m.</w:t>
            </w:r>
          </w:p>
        </w:tc>
        <w:tc>
          <w:tcPr>
            <w:shd w:fill="F1F8F6" w:val="clear"/>
          </w:tcPr>
          <w:p>
            <w:pPr>
              <w:spacing w:after="50" w:before="50"/>
              <w:jc w:val="left"/>
            </w:pPr>
            <w:r>
              <w:rPr>
                <w:sz w:val="20"/>
                <w:szCs w:val="20"/>
              </w:rPr>
              <w:t xml:space="preserve">Zona de vida bh-T (Holdridge)</w:t>
            </w:r>
          </w:p>
        </w:tc>
      </w:tr>
      <w:tr>
        <w:tc>
          <w:tcPr>
            <w:shd w:fill="FFFFFF" w:val="clear"/>
          </w:tcPr>
          <w:p>
            <w:pPr>
              <w:spacing w:after="50" w:before="50"/>
              <w:jc w:val="left"/>
            </w:pPr>
            <w:r>
              <w:rPr>
                <w:sz w:val="20"/>
                <w:szCs w:val="20"/>
              </w:rPr>
              <w:t xml:space="preserve">Zona hidrográfica</w:t>
            </w:r>
          </w:p>
        </w:tc>
        <w:tc>
          <w:tcPr>
            <w:shd w:fill="FFFFFF" w:val="clear"/>
          </w:tcPr>
          <w:p>
            <w:pPr>
              <w:spacing w:after="50" w:before="50"/>
              <w:jc w:val="left"/>
            </w:pPr>
            <w:r>
              <w:rPr>
                <w:sz w:val="20"/>
                <w:szCs w:val="20"/>
              </w:rPr>
              <w:t xml:space="preserve">Sogamoso – Magdalena Medio</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Código IDEAM 2307</w:t>
            </w:r>
          </w:p>
        </w:tc>
      </w:tr>
    </w:tbl>
    <w:p>
      <w:pPr>
        <w:spacing w:after="180" w:before="60"/>
        <w:jc w:val="left"/>
      </w:pPr>
      <w:r>
        <w:rPr>
          <w:i/>
          <w:iCs/>
          <w:color w:val="777777"/>
          <w:sz w:val="16"/>
          <w:szCs w:val="16"/>
        </w:rPr>
        <w:t xml:space="preserve">Fuente. Caracterización regional del Magdalena Medio santandereano. Los valores de precipitación mensual serán actualizados con series IDEAM una vez el usuario suba los archivos correspondientes.</w:t>
      </w:r>
    </w:p>
    <w:p>
      <w:pPr>
        <w:pStyle w:val="Heading2"/>
        <w:spacing w:after="140" w:before="240"/>
      </w:pPr>
      <w:r>
        <w:rPr>
          <w:b/>
          <w:bCs/>
          <w:color w:val="4A9D8E"/>
          <w:sz w:val="24"/>
          <w:szCs w:val="24"/>
        </w:rPr>
        <w:t xml:space="preserve">7.6. Consideraciones sobre la oferta hídrica para el balance del proyecto</w:t>
      </w:r>
    </w:p>
    <w:p>
      <w:pPr>
        <w:spacing w:after="160" w:line="320"/>
        <w:jc w:val="both"/>
      </w:pPr>
      <w:r>
        <w:rPr>
          <w:sz w:val="22"/>
          <w:szCs w:val="22"/>
        </w:rPr>
        <w:t xml:space="preserve">El caudal total solicitado en el presente trámite de concesión de aguas subterráneas asciende a 4,219 L/s, distribuido entre los usos pecuario avícola, consumo humano y otros usos de saneamiento y bioseguridad. La viabilidad de este volumen de extracción en el contexto del balance hídrico regional depende de la capacidad de recarga efectiva del acuífero aluvial del área de influencia, la cual está directamente vinculada al régimen de precipitación caracterizado en la presente sección. El reservorio de aguas lluvias identificado en el levantamiento de campo, ubicado en las coordenadas latitud 7,274473, longitud -73,558548, constituye un elemento fundamental del sistema de abastecimiento hídrico del proyecto, al actuar como fuente complementaria durante los períodos de menor disponibilidad subterránea, en especial durante eventos El Niño. Esta configuración dual de fuentes — pozo profundo más reservorio pluvial — mejora la resiliencia hídrica del proyecto ante la variabilidad climática interanual propia de la cuenca del Magdalena Medio.</w:t>
      </w:r>
    </w:p>
    <w:p>
      <w:r>
        <w:br w:type="page"/>
      </w:r>
    </w:p>
    <w:p>
      <w:pPr>
        <w:pStyle w:val="Heading1"/>
        <w:spacing w:after="200" w:before="360"/>
      </w:pPr>
      <w:r>
        <w:rPr>
          <w:b/>
          <w:bCs/>
          <w:color w:val="1F2937"/>
          <w:sz w:val="28"/>
          <w:szCs w:val="28"/>
        </w:rPr>
        <w:t xml:space="preserve">8. LÍNEA BASE — OFERTA HÍDRICA</w:t>
      </w:r>
    </w:p>
    <w:p>
      <w:pPr>
        <w:spacing w:after="160" w:line="320"/>
        <w:jc w:val="both"/>
      </w:pPr>
      <w:r>
        <w:rPr>
          <w:sz w:val="22"/>
          <w:szCs w:val="22"/>
        </w:rPr>
        <w:t xml:space="preserve">La fuente de abastecimiento del proyecto corresponde a un pozo profundo ubicado en latitud 7,275152, longitud -73,558266, dentro del municipio de Sabana de Torres, Santander. Por tratarse de una fuente subterránea, la caracterización de la oferta hídrica se fundamenta en los parámetros hidrogeológicos del sistema acuífero regional, las características físicas del pozo y la información disponible en la base de datos del IDEAM para la subzona hidrográfica del Sogamoso (código SZH 2308), en la cual se enmarca administrativamente el área de influencia del proyecto.</w:t>
      </w:r>
    </w:p>
    <w:p>
      <w:pPr>
        <w:pStyle w:val="Heading2"/>
        <w:spacing w:after="140" w:before="240"/>
      </w:pPr>
      <w:r>
        <w:rPr>
          <w:b/>
          <w:bCs/>
          <w:color w:val="4A9D8E"/>
          <w:sz w:val="24"/>
          <w:szCs w:val="24"/>
        </w:rPr>
        <w:t xml:space="preserve">8.1. Caracterización del sistema acuífero</w:t>
      </w:r>
    </w:p>
    <w:p>
      <w:pPr>
        <w:spacing w:after="160" w:line="320"/>
        <w:jc w:val="both"/>
      </w:pPr>
      <w:r>
        <w:rPr>
          <w:sz w:val="22"/>
          <w:szCs w:val="22"/>
        </w:rPr>
        <w:t xml:space="preserve">El municipio de Sabana de Torres se localiza en la llanura del Magdalena Medio santandereano, sector donde los sistemas acuíferos están constituidos por depósitos aluviales cuaternarios y sedimentos terciarios de origen fluvio-lacustre, con espesores saturados que oscilan entre 30 y más de 100 metros según los registros de la Corporación. La litología predominante incluye arenas finas a medias intercaladas con gravas y limos, configurando acuíferos de tipo libre a semiconfinado con capacidades específicas que, en pozos productivos de la región, reportan valores entre 0,5 y 5,0 L/s/m. La recarga del sistema ocurre principalmente por infiltración directa de la precipitación sobre las planicies aluviales y por aporte lateral de los cauces permanentes de la cuenca del río Sogamoso.</w:t>
      </w:r>
    </w:p>
    <w:p>
      <w:pPr>
        <w:spacing w:after="160" w:line="320"/>
        <w:jc w:val="both"/>
      </w:pPr>
      <w:r>
        <w:rPr>
          <w:sz w:val="22"/>
          <w:szCs w:val="22"/>
        </w:rPr>
        <w:t xml:space="preserve">En ausencia del informe de prueba de bombeo, la oferta hídrica del pozo se establece de forma conservadora a partir de los rangos documentados por el Servicio Geológico Colombiano (SGC) y el IDEAM para acuíferos análogos en la provincia hidrogeológica del Valle Medio del Magdalena. Para unidades litoestratigráficas equivalentes a las presentes en Sabana de Torres, los caudales de explotación sostenible de pozos con profundidades entre 60 y 120 metros se encuentran en el rango de 5 a 25 L/s, valores que superan holgadamente el caudal a solicitar de 4,219 L/s. Esta estimación tiene carácter referencial y deberá ser sustituida por los resultados de la prueba de bombeo una vez se alleguen al expediente.</w:t>
      </w:r>
    </w:p>
    <w:p>
      <w:pPr>
        <w:pStyle w:val="Heading2"/>
        <w:spacing w:after="140" w:before="240"/>
      </w:pPr>
      <w:r>
        <w:rPr>
          <w:b/>
          <w:bCs/>
          <w:color w:val="4A9D8E"/>
          <w:sz w:val="24"/>
          <w:szCs w:val="24"/>
        </w:rPr>
        <w:t xml:space="preserve">8.2. Oferta media anual</w:t>
      </w:r>
    </w:p>
    <w:p>
      <w:pPr>
        <w:spacing w:after="160" w:line="320"/>
        <w:jc w:val="both"/>
      </w:pPr>
      <w:r>
        <w:rPr>
          <w:sz w:val="22"/>
          <w:szCs w:val="22"/>
        </w:rPr>
        <w:t xml:space="preserve">Para acuíferos explotados mediante pozo profundo, la oferta media anual corresponde al caudal de explotación sostenible determinado por la prueba de bombeo, el cual define el límite máximo de extracción que no compromete el equilibrio del nivel piezométrico a largo plazo. De forma complementaria, la oferta superficial del área de influencia se cuantifica a partir de los registros hidrológicos de la subzona SZH 2308 (Sogamoso). El IDEAM reporta para esta subzona un rendimiento hídrico medio de aproximadamente 20 L/s·km², con caudal específico que varía entre 10 y 30 L/s·km² según la época del año, lo que refleja la alta capacidad de regulación de los depósitos aluviales cuaternarios que conforman el acuífero regional.</w:t>
      </w:r>
    </w:p>
    <w:p>
      <w:pPr>
        <w:spacing w:after="90" w:before="220"/>
        <w:jc w:val="center"/>
      </w:pPr>
      <w:r>
        <w:rPr>
          <w:b/>
          <w:bCs/>
          <w:sz w:val="20"/>
          <w:szCs w:val="20"/>
        </w:rPr>
        <w:t xml:space="preserve">Tabla 10. Estimación de la oferta hídrica mensual del acuífero — subzona SZH 2308 (Sogamoso)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Mes</w:t>
            </w:r>
          </w:p>
        </w:tc>
        <w:tc>
          <w:tcPr>
            <w:shd w:fill="4A9D8E" w:val="clear"/>
          </w:tcPr>
          <w:p>
            <w:pPr>
              <w:spacing w:after="50" w:before="50"/>
              <w:jc w:val="center"/>
            </w:pPr>
            <w:r>
              <w:rPr>
                <w:b/>
                <w:bCs/>
                <w:color w:val="FFFFFF"/>
                <w:sz w:val="20"/>
                <w:szCs w:val="20"/>
              </w:rPr>
              <w:t xml:space="preserve">Precipitación media (mm)</w:t>
            </w:r>
          </w:p>
        </w:tc>
        <w:tc>
          <w:tcPr>
            <w:shd w:fill="4A9D8E" w:val="clear"/>
          </w:tcPr>
          <w:p>
            <w:pPr>
              <w:spacing w:after="50" w:before="50"/>
              <w:jc w:val="center"/>
            </w:pPr>
            <w:r>
              <w:rPr>
                <w:b/>
                <w:bCs/>
                <w:color w:val="FFFFFF"/>
                <w:sz w:val="20"/>
                <w:szCs w:val="20"/>
              </w:rPr>
              <w:t xml:space="preserve">Recarga estimada del acuífero (%)</w:t>
            </w:r>
          </w:p>
        </w:tc>
        <w:tc>
          <w:tcPr>
            <w:shd w:fill="4A9D8E" w:val="clear"/>
          </w:tcPr>
          <w:p>
            <w:pPr>
              <w:spacing w:after="50" w:before="50"/>
              <w:jc w:val="center"/>
            </w:pPr>
            <w:r>
              <w:rPr>
                <w:b/>
                <w:bCs/>
                <w:color w:val="FFFFFF"/>
                <w:sz w:val="20"/>
                <w:szCs w:val="20"/>
              </w:rPr>
              <w:t xml:space="preserve">Oferta subterránea relativa</w:t>
            </w:r>
          </w:p>
        </w:tc>
        <w:tc>
          <w:tcPr>
            <w:shd w:fill="4A9D8E" w:val="clear"/>
          </w:tcPr>
          <w:p>
            <w:pPr>
              <w:spacing w:after="50" w:before="50"/>
              <w:jc w:val="center"/>
            </w:pPr>
            <w:r>
              <w:rPr>
                <w:b/>
                <w:bCs/>
                <w:color w:val="FFFFFF"/>
                <w:sz w:val="20"/>
                <w:szCs w:val="20"/>
              </w:rPr>
              <w:t xml:space="preserve">Condición</w:t>
            </w:r>
          </w:p>
        </w:tc>
      </w:tr>
      <w:tr>
        <w:tc>
          <w:tcPr>
            <w:shd w:fill="F1F8F6" w:val="clear"/>
          </w:tcPr>
          <w:p>
            <w:pPr>
              <w:spacing w:after="50" w:before="50"/>
              <w:jc w:val="left"/>
            </w:pPr>
            <w:r>
              <w:rPr>
                <w:sz w:val="20"/>
                <w:szCs w:val="20"/>
              </w:rPr>
              <w:t xml:space="preserve">Enero</w:t>
            </w:r>
          </w:p>
        </w:tc>
        <w:tc>
          <w:tcPr>
            <w:shd w:fill="F1F8F6" w:val="clear"/>
          </w:tcPr>
          <w:p>
            <w:pPr>
              <w:spacing w:after="50" w:before="50"/>
              <w:jc w:val="left"/>
            </w:pPr>
            <w:r>
              <w:rPr>
                <w:sz w:val="20"/>
                <w:szCs w:val="20"/>
              </w:rPr>
              <w:t xml:space="preserve">130</w:t>
            </w:r>
          </w:p>
        </w:tc>
        <w:tc>
          <w:tcPr>
            <w:shd w:fill="F1F8F6" w:val="clear"/>
          </w:tcPr>
          <w:p>
            <w:pPr>
              <w:spacing w:after="50" w:before="50"/>
              <w:jc w:val="left"/>
            </w:pPr>
            <w:r>
              <w:rPr>
                <w:sz w:val="20"/>
                <w:szCs w:val="20"/>
              </w:rPr>
              <w:t xml:space="preserve">15</w:t>
            </w:r>
          </w:p>
        </w:tc>
        <w:tc>
          <w:tcPr>
            <w:shd w:fill="F1F8F6" w:val="clear"/>
          </w:tcPr>
          <w:p>
            <w:pPr>
              <w:spacing w:after="50" w:before="50"/>
              <w:jc w:val="left"/>
            </w:pPr>
            <w:r>
              <w:rPr>
                <w:sz w:val="20"/>
                <w:szCs w:val="20"/>
              </w:rPr>
              <w:t xml:space="preserve">Media-baja</w:t>
            </w:r>
          </w:p>
        </w:tc>
        <w:tc>
          <w:tcPr>
            <w:shd w:fill="F1F8F6" w:val="clear"/>
          </w:tcPr>
          <w:p>
            <w:pPr>
              <w:spacing w:after="50" w:before="50"/>
              <w:jc w:val="left"/>
            </w:pPr>
            <w:r>
              <w:rPr>
                <w:sz w:val="20"/>
                <w:szCs w:val="20"/>
              </w:rPr>
              <w:t xml:space="preserve">Transición seca-húmeda</w:t>
            </w:r>
          </w:p>
        </w:tc>
      </w:tr>
      <w:tr>
        <w:tc>
          <w:tcPr>
            <w:shd w:fill="FFFFFF" w:val="clear"/>
          </w:tcPr>
          <w:p>
            <w:pPr>
              <w:spacing w:after="50" w:before="50"/>
              <w:jc w:val="left"/>
            </w:pPr>
            <w:r>
              <w:rPr>
                <w:sz w:val="20"/>
                <w:szCs w:val="20"/>
              </w:rPr>
              <w:t xml:space="preserve">Febrero</w:t>
            </w:r>
          </w:p>
        </w:tc>
        <w:tc>
          <w:tcPr>
            <w:shd w:fill="FFFFFF" w:val="clear"/>
          </w:tcPr>
          <w:p>
            <w:pPr>
              <w:spacing w:after="50" w:before="50"/>
              <w:jc w:val="left"/>
            </w:pPr>
            <w:r>
              <w:rPr>
                <w:sz w:val="20"/>
                <w:szCs w:val="20"/>
              </w:rPr>
              <w:t xml:space="preserve">110</w:t>
            </w:r>
          </w:p>
        </w:tc>
        <w:tc>
          <w:tcPr>
            <w:shd w:fill="FFFFFF" w:val="clear"/>
          </w:tcPr>
          <w:p>
            <w:pPr>
              <w:spacing w:after="50" w:before="50"/>
              <w:jc w:val="left"/>
            </w:pPr>
            <w:r>
              <w:rPr>
                <w:sz w:val="20"/>
                <w:szCs w:val="20"/>
              </w:rPr>
              <w:t xml:space="preserve">12</w:t>
            </w:r>
          </w:p>
        </w:tc>
        <w:tc>
          <w:tcPr>
            <w:shd w:fill="FFFFFF" w:val="clear"/>
          </w:tcPr>
          <w:p>
            <w:pPr>
              <w:spacing w:after="50" w:before="50"/>
              <w:jc w:val="left"/>
            </w:pPr>
            <w:r>
              <w:rPr>
                <w:sz w:val="20"/>
                <w:szCs w:val="20"/>
              </w:rPr>
              <w:t xml:space="preserve">Baja</w:t>
            </w:r>
          </w:p>
        </w:tc>
        <w:tc>
          <w:tcPr>
            <w:shd w:fill="FFFFFF" w:val="clear"/>
          </w:tcPr>
          <w:p>
            <w:pPr>
              <w:spacing w:after="50" w:before="50"/>
              <w:jc w:val="left"/>
            </w:pPr>
            <w:r>
              <w:rPr>
                <w:sz w:val="20"/>
                <w:szCs w:val="20"/>
              </w:rPr>
              <w:t xml:space="preserve">Período seco</w:t>
            </w:r>
          </w:p>
        </w:tc>
      </w:tr>
      <w:tr>
        <w:tc>
          <w:tcPr>
            <w:shd w:fill="F1F8F6" w:val="clear"/>
          </w:tcPr>
          <w:p>
            <w:pPr>
              <w:spacing w:after="50" w:before="50"/>
              <w:jc w:val="left"/>
            </w:pPr>
            <w:r>
              <w:rPr>
                <w:sz w:val="20"/>
                <w:szCs w:val="20"/>
              </w:rPr>
              <w:t xml:space="preserve">Marzo</w:t>
            </w:r>
          </w:p>
        </w:tc>
        <w:tc>
          <w:tcPr>
            <w:shd w:fill="F1F8F6" w:val="clear"/>
          </w:tcPr>
          <w:p>
            <w:pPr>
              <w:spacing w:after="50" w:before="50"/>
              <w:jc w:val="left"/>
            </w:pPr>
            <w:r>
              <w:rPr>
                <w:sz w:val="20"/>
                <w:szCs w:val="20"/>
              </w:rPr>
              <w:t xml:space="preserve">150</w:t>
            </w:r>
          </w:p>
        </w:tc>
        <w:tc>
          <w:tcPr>
            <w:shd w:fill="F1F8F6" w:val="clear"/>
          </w:tcPr>
          <w:p>
            <w:pPr>
              <w:spacing w:after="50" w:before="50"/>
              <w:jc w:val="left"/>
            </w:pPr>
            <w:r>
              <w:rPr>
                <w:sz w:val="20"/>
                <w:szCs w:val="20"/>
              </w:rPr>
              <w:t xml:space="preserve">18</w:t>
            </w:r>
          </w:p>
        </w:tc>
        <w:tc>
          <w:tcPr>
            <w:shd w:fill="F1F8F6" w:val="clear"/>
          </w:tcPr>
          <w:p>
            <w:pPr>
              <w:spacing w:after="50" w:before="50"/>
              <w:jc w:val="left"/>
            </w:pPr>
            <w:r>
              <w:rPr>
                <w:sz w:val="20"/>
                <w:szCs w:val="20"/>
              </w:rPr>
              <w:t xml:space="preserve">Media</w:t>
            </w:r>
          </w:p>
        </w:tc>
        <w:tc>
          <w:tcPr>
            <w:shd w:fill="F1F8F6" w:val="clear"/>
          </w:tcPr>
          <w:p>
            <w:pPr>
              <w:spacing w:after="50" w:before="50"/>
              <w:jc w:val="left"/>
            </w:pPr>
            <w:r>
              <w:rPr>
                <w:sz w:val="20"/>
                <w:szCs w:val="20"/>
              </w:rPr>
              <w:t xml:space="preserve">Inicio temporada húmeda</w:t>
            </w:r>
          </w:p>
        </w:tc>
      </w:tr>
      <w:tr>
        <w:tc>
          <w:tcPr>
            <w:shd w:fill="FFFFFF" w:val="clear"/>
          </w:tcPr>
          <w:p>
            <w:pPr>
              <w:spacing w:after="50" w:before="50"/>
              <w:jc w:val="left"/>
            </w:pPr>
            <w:r>
              <w:rPr>
                <w:sz w:val="20"/>
                <w:szCs w:val="20"/>
              </w:rPr>
              <w:t xml:space="preserve">Abril</w:t>
            </w:r>
          </w:p>
        </w:tc>
        <w:tc>
          <w:tcPr>
            <w:shd w:fill="FFFFFF" w:val="clear"/>
          </w:tcPr>
          <w:p>
            <w:pPr>
              <w:spacing w:after="50" w:before="50"/>
              <w:jc w:val="left"/>
            </w:pPr>
            <w:r>
              <w:rPr>
                <w:sz w:val="20"/>
                <w:szCs w:val="20"/>
              </w:rPr>
              <w:t xml:space="preserve">220</w:t>
            </w:r>
          </w:p>
        </w:tc>
        <w:tc>
          <w:tcPr>
            <w:shd w:fill="FFFFFF" w:val="clear"/>
          </w:tcPr>
          <w:p>
            <w:pPr>
              <w:spacing w:after="50" w:before="50"/>
              <w:jc w:val="left"/>
            </w:pPr>
            <w:r>
              <w:rPr>
                <w:sz w:val="20"/>
                <w:szCs w:val="20"/>
              </w:rPr>
              <w:t xml:space="preserve">28</w:t>
            </w:r>
          </w:p>
        </w:tc>
        <w:tc>
          <w:tcPr>
            <w:shd w:fill="FFFFFF" w:val="clear"/>
          </w:tcPr>
          <w:p>
            <w:pPr>
              <w:spacing w:after="50" w:before="50"/>
              <w:jc w:val="left"/>
            </w:pPr>
            <w:r>
              <w:rPr>
                <w:sz w:val="20"/>
                <w:szCs w:val="20"/>
              </w:rPr>
              <w:t xml:space="preserve">Alta</w:t>
            </w:r>
          </w:p>
        </w:tc>
        <w:tc>
          <w:tcPr>
            <w:shd w:fill="FFFFFF" w:val="clear"/>
          </w:tcPr>
          <w:p>
            <w:pPr>
              <w:spacing w:after="50" w:before="50"/>
              <w:jc w:val="left"/>
            </w:pPr>
            <w:r>
              <w:rPr>
                <w:sz w:val="20"/>
                <w:szCs w:val="20"/>
              </w:rPr>
              <w:t xml:space="preserve">Temporada húmeda principal</w:t>
            </w:r>
          </w:p>
        </w:tc>
      </w:tr>
      <w:tr>
        <w:tc>
          <w:tcPr>
            <w:shd w:fill="F1F8F6" w:val="clear"/>
          </w:tcPr>
          <w:p>
            <w:pPr>
              <w:spacing w:after="50" w:before="50"/>
              <w:jc w:val="left"/>
            </w:pPr>
            <w:r>
              <w:rPr>
                <w:sz w:val="20"/>
                <w:szCs w:val="20"/>
              </w:rPr>
              <w:t xml:space="preserve">Mayo</w:t>
            </w:r>
          </w:p>
        </w:tc>
        <w:tc>
          <w:tcPr>
            <w:shd w:fill="F1F8F6" w:val="clear"/>
          </w:tcPr>
          <w:p>
            <w:pPr>
              <w:spacing w:after="50" w:before="50"/>
              <w:jc w:val="left"/>
            </w:pPr>
            <w:r>
              <w:rPr>
                <w:sz w:val="20"/>
                <w:szCs w:val="20"/>
              </w:rPr>
              <w:t xml:space="preserve">280</w:t>
            </w:r>
          </w:p>
        </w:tc>
        <w:tc>
          <w:tcPr>
            <w:shd w:fill="F1F8F6" w:val="clear"/>
          </w:tcPr>
          <w:p>
            <w:pPr>
              <w:spacing w:after="50" w:before="50"/>
              <w:jc w:val="left"/>
            </w:pPr>
            <w:r>
              <w:rPr>
                <w:sz w:val="20"/>
                <w:szCs w:val="20"/>
              </w:rPr>
              <w:t xml:space="preserve">35</w:t>
            </w:r>
          </w:p>
        </w:tc>
        <w:tc>
          <w:tcPr>
            <w:shd w:fill="F1F8F6" w:val="clear"/>
          </w:tcPr>
          <w:p>
            <w:pPr>
              <w:spacing w:after="50" w:before="50"/>
              <w:jc w:val="left"/>
            </w:pPr>
            <w:r>
              <w:rPr>
                <w:sz w:val="20"/>
                <w:szCs w:val="20"/>
              </w:rPr>
              <w:t xml:space="preserve">Alta</w:t>
            </w:r>
          </w:p>
        </w:tc>
        <w:tc>
          <w:tcPr>
            <w:shd w:fill="F1F8F6" w:val="clear"/>
          </w:tcPr>
          <w:p>
            <w:pPr>
              <w:spacing w:after="50" w:before="50"/>
              <w:jc w:val="left"/>
            </w:pPr>
            <w:r>
              <w:rPr>
                <w:sz w:val="20"/>
                <w:szCs w:val="20"/>
              </w:rPr>
              <w:t xml:space="preserve">Temporada húmeda principal</w:t>
            </w:r>
          </w:p>
        </w:tc>
      </w:tr>
      <w:tr>
        <w:tc>
          <w:tcPr>
            <w:shd w:fill="FFFFFF" w:val="clear"/>
          </w:tcPr>
          <w:p>
            <w:pPr>
              <w:spacing w:after="50" w:before="50"/>
              <w:jc w:val="left"/>
            </w:pPr>
            <w:r>
              <w:rPr>
                <w:sz w:val="20"/>
                <w:szCs w:val="20"/>
              </w:rPr>
              <w:t xml:space="preserve">Junio</w:t>
            </w:r>
          </w:p>
        </w:tc>
        <w:tc>
          <w:tcPr>
            <w:shd w:fill="FFFFFF" w:val="clear"/>
          </w:tcPr>
          <w:p>
            <w:pPr>
              <w:spacing w:after="50" w:before="50"/>
              <w:jc w:val="left"/>
            </w:pPr>
            <w:r>
              <w:rPr>
                <w:sz w:val="20"/>
                <w:szCs w:val="20"/>
              </w:rPr>
              <w:t xml:space="preserve">200</w:t>
            </w:r>
          </w:p>
        </w:tc>
        <w:tc>
          <w:tcPr>
            <w:shd w:fill="FFFFFF" w:val="clear"/>
          </w:tcPr>
          <w:p>
            <w:pPr>
              <w:spacing w:after="50" w:before="50"/>
              <w:jc w:val="left"/>
            </w:pPr>
            <w:r>
              <w:rPr>
                <w:sz w:val="20"/>
                <w:szCs w:val="20"/>
              </w:rPr>
              <w:t xml:space="preserve">25</w:t>
            </w:r>
          </w:p>
        </w:tc>
        <w:tc>
          <w:tcPr>
            <w:shd w:fill="FFFFFF" w:val="clear"/>
          </w:tcPr>
          <w:p>
            <w:pPr>
              <w:spacing w:after="50" w:before="50"/>
              <w:jc w:val="left"/>
            </w:pPr>
            <w:r>
              <w:rPr>
                <w:sz w:val="20"/>
                <w:szCs w:val="20"/>
              </w:rPr>
              <w:t xml:space="preserve">Media-alta</w:t>
            </w:r>
          </w:p>
        </w:tc>
        <w:tc>
          <w:tcPr>
            <w:shd w:fill="FFFFFF" w:val="clear"/>
          </w:tcPr>
          <w:p>
            <w:pPr>
              <w:spacing w:after="50" w:before="50"/>
              <w:jc w:val="left"/>
            </w:pPr>
            <w:r>
              <w:rPr>
                <w:sz w:val="20"/>
                <w:szCs w:val="20"/>
              </w:rPr>
              <w:t xml:space="preserve">Transición</w:t>
            </w:r>
          </w:p>
        </w:tc>
      </w:tr>
      <w:tr>
        <w:tc>
          <w:tcPr>
            <w:shd w:fill="F1F8F6" w:val="clear"/>
          </w:tcPr>
          <w:p>
            <w:pPr>
              <w:spacing w:after="50" w:before="50"/>
              <w:jc w:val="left"/>
            </w:pPr>
            <w:r>
              <w:rPr>
                <w:sz w:val="20"/>
                <w:szCs w:val="20"/>
              </w:rPr>
              <w:t xml:space="preserve">Julio</w:t>
            </w:r>
          </w:p>
        </w:tc>
        <w:tc>
          <w:tcPr>
            <w:shd w:fill="F1F8F6" w:val="clear"/>
          </w:tcPr>
          <w:p>
            <w:pPr>
              <w:spacing w:after="50" w:before="50"/>
              <w:jc w:val="left"/>
            </w:pPr>
            <w:r>
              <w:rPr>
                <w:sz w:val="20"/>
                <w:szCs w:val="20"/>
              </w:rPr>
              <w:t xml:space="preserve">160</w:t>
            </w:r>
          </w:p>
        </w:tc>
        <w:tc>
          <w:tcPr>
            <w:shd w:fill="F1F8F6" w:val="clear"/>
          </w:tcPr>
          <w:p>
            <w:pPr>
              <w:spacing w:after="50" w:before="50"/>
              <w:jc w:val="left"/>
            </w:pPr>
            <w:r>
              <w:rPr>
                <w:sz w:val="20"/>
                <w:szCs w:val="20"/>
              </w:rPr>
              <w:t xml:space="preserve">20</w:t>
            </w:r>
          </w:p>
        </w:tc>
        <w:tc>
          <w:tcPr>
            <w:shd w:fill="F1F8F6" w:val="clear"/>
          </w:tcPr>
          <w:p>
            <w:pPr>
              <w:spacing w:after="50" w:before="50"/>
              <w:jc w:val="left"/>
            </w:pPr>
            <w:r>
              <w:rPr>
                <w:sz w:val="20"/>
                <w:szCs w:val="20"/>
              </w:rPr>
              <w:t xml:space="preserve">Media</w:t>
            </w:r>
          </w:p>
        </w:tc>
        <w:tc>
          <w:tcPr>
            <w:shd w:fill="F1F8F6" w:val="clear"/>
          </w:tcPr>
          <w:p>
            <w:pPr>
              <w:spacing w:after="50" w:before="50"/>
              <w:jc w:val="left"/>
            </w:pPr>
            <w:r>
              <w:rPr>
                <w:sz w:val="20"/>
                <w:szCs w:val="20"/>
              </w:rPr>
              <w:t xml:space="preserve">Veranillo de San Juan</w:t>
            </w:r>
          </w:p>
        </w:tc>
      </w:tr>
      <w:tr>
        <w:tc>
          <w:tcPr>
            <w:shd w:fill="FFFFFF" w:val="clear"/>
          </w:tcPr>
          <w:p>
            <w:pPr>
              <w:spacing w:after="50" w:before="50"/>
              <w:jc w:val="left"/>
            </w:pPr>
            <w:r>
              <w:rPr>
                <w:sz w:val="20"/>
                <w:szCs w:val="20"/>
              </w:rPr>
              <w:t xml:space="preserve">Agosto</w:t>
            </w:r>
          </w:p>
        </w:tc>
        <w:tc>
          <w:tcPr>
            <w:shd w:fill="FFFFFF" w:val="clear"/>
          </w:tcPr>
          <w:p>
            <w:pPr>
              <w:spacing w:after="50" w:before="50"/>
              <w:jc w:val="left"/>
            </w:pPr>
            <w:r>
              <w:rPr>
                <w:sz w:val="20"/>
                <w:szCs w:val="20"/>
              </w:rPr>
              <w:t xml:space="preserve">140</w:t>
            </w:r>
          </w:p>
        </w:tc>
        <w:tc>
          <w:tcPr>
            <w:shd w:fill="FFFFFF" w:val="clear"/>
          </w:tcPr>
          <w:p>
            <w:pPr>
              <w:spacing w:after="50" w:before="50"/>
              <w:jc w:val="left"/>
            </w:pPr>
            <w:r>
              <w:rPr>
                <w:sz w:val="20"/>
                <w:szCs w:val="20"/>
              </w:rPr>
              <w:t xml:space="preserve">17</w:t>
            </w:r>
          </w:p>
        </w:tc>
        <w:tc>
          <w:tcPr>
            <w:shd w:fill="FFFFFF" w:val="clear"/>
          </w:tcPr>
          <w:p>
            <w:pPr>
              <w:spacing w:after="50" w:before="50"/>
              <w:jc w:val="left"/>
            </w:pPr>
            <w:r>
              <w:rPr>
                <w:sz w:val="20"/>
                <w:szCs w:val="20"/>
              </w:rPr>
              <w:t xml:space="preserve">Media</w:t>
            </w:r>
          </w:p>
        </w:tc>
        <w:tc>
          <w:tcPr>
            <w:shd w:fill="FFFFFF" w:val="clear"/>
          </w:tcPr>
          <w:p>
            <w:pPr>
              <w:spacing w:after="50" w:before="50"/>
              <w:jc w:val="left"/>
            </w:pPr>
            <w:r>
              <w:rPr>
                <w:sz w:val="20"/>
                <w:szCs w:val="20"/>
              </w:rPr>
              <w:t xml:space="preserve">Veranillo de San Juan</w:t>
            </w:r>
          </w:p>
        </w:tc>
      </w:tr>
      <w:tr>
        <w:tc>
          <w:tcPr>
            <w:shd w:fill="F1F8F6" w:val="clear"/>
          </w:tcPr>
          <w:p>
            <w:pPr>
              <w:spacing w:after="50" w:before="50"/>
              <w:jc w:val="left"/>
            </w:pPr>
            <w:r>
              <w:rPr>
                <w:sz w:val="20"/>
                <w:szCs w:val="20"/>
              </w:rPr>
              <w:t xml:space="preserve">Septiembre</w:t>
            </w:r>
          </w:p>
        </w:tc>
        <w:tc>
          <w:tcPr>
            <w:shd w:fill="F1F8F6" w:val="clear"/>
          </w:tcPr>
          <w:p>
            <w:pPr>
              <w:spacing w:after="50" w:before="50"/>
              <w:jc w:val="left"/>
            </w:pPr>
            <w:r>
              <w:rPr>
                <w:sz w:val="20"/>
                <w:szCs w:val="20"/>
              </w:rPr>
              <w:t xml:space="preserve">190</w:t>
            </w:r>
          </w:p>
        </w:tc>
        <w:tc>
          <w:tcPr>
            <w:shd w:fill="F1F8F6" w:val="clear"/>
          </w:tcPr>
          <w:p>
            <w:pPr>
              <w:spacing w:after="50" w:before="50"/>
              <w:jc w:val="left"/>
            </w:pPr>
            <w:r>
              <w:rPr>
                <w:sz w:val="20"/>
                <w:szCs w:val="20"/>
              </w:rPr>
              <w:t xml:space="preserve">24</w:t>
            </w:r>
          </w:p>
        </w:tc>
        <w:tc>
          <w:tcPr>
            <w:shd w:fill="F1F8F6" w:val="clear"/>
          </w:tcPr>
          <w:p>
            <w:pPr>
              <w:spacing w:after="50" w:before="50"/>
              <w:jc w:val="left"/>
            </w:pPr>
            <w:r>
              <w:rPr>
                <w:sz w:val="20"/>
                <w:szCs w:val="20"/>
              </w:rPr>
              <w:t xml:space="preserve">Media-alta</w:t>
            </w:r>
          </w:p>
        </w:tc>
        <w:tc>
          <w:tcPr>
            <w:shd w:fill="F1F8F6" w:val="clear"/>
          </w:tcPr>
          <w:p>
            <w:pPr>
              <w:spacing w:after="50" w:before="50"/>
              <w:jc w:val="left"/>
            </w:pPr>
            <w:r>
              <w:rPr>
                <w:sz w:val="20"/>
                <w:szCs w:val="20"/>
              </w:rPr>
              <w:t xml:space="preserve">Segunda temporada húmeda</w:t>
            </w:r>
          </w:p>
        </w:tc>
      </w:tr>
      <w:tr>
        <w:tc>
          <w:tcPr>
            <w:shd w:fill="FFFFFF" w:val="clear"/>
          </w:tcPr>
          <w:p>
            <w:pPr>
              <w:spacing w:after="50" w:before="50"/>
              <w:jc w:val="left"/>
            </w:pPr>
            <w:r>
              <w:rPr>
                <w:sz w:val="20"/>
                <w:szCs w:val="20"/>
              </w:rPr>
              <w:t xml:space="preserve">Octubre</w:t>
            </w:r>
          </w:p>
        </w:tc>
        <w:tc>
          <w:tcPr>
            <w:shd w:fill="FFFFFF" w:val="clear"/>
          </w:tcPr>
          <w:p>
            <w:pPr>
              <w:spacing w:after="50" w:before="50"/>
              <w:jc w:val="left"/>
            </w:pPr>
            <w:r>
              <w:rPr>
                <w:sz w:val="20"/>
                <w:szCs w:val="20"/>
              </w:rPr>
              <w:t xml:space="preserve">270</w:t>
            </w:r>
          </w:p>
        </w:tc>
        <w:tc>
          <w:tcPr>
            <w:shd w:fill="FFFFFF" w:val="clear"/>
          </w:tcPr>
          <w:p>
            <w:pPr>
              <w:spacing w:after="50" w:before="50"/>
              <w:jc w:val="left"/>
            </w:pPr>
            <w:r>
              <w:rPr>
                <w:sz w:val="20"/>
                <w:szCs w:val="20"/>
              </w:rPr>
              <w:t xml:space="preserve">34</w:t>
            </w:r>
          </w:p>
        </w:tc>
        <w:tc>
          <w:tcPr>
            <w:shd w:fill="FFFFFF" w:val="clear"/>
          </w:tcPr>
          <w:p>
            <w:pPr>
              <w:spacing w:after="50" w:before="50"/>
              <w:jc w:val="left"/>
            </w:pPr>
            <w:r>
              <w:rPr>
                <w:sz w:val="20"/>
                <w:szCs w:val="20"/>
              </w:rPr>
              <w:t xml:space="preserve">Alta</w:t>
            </w:r>
          </w:p>
        </w:tc>
        <w:tc>
          <w:tcPr>
            <w:shd w:fill="FFFFFF" w:val="clear"/>
          </w:tcPr>
          <w:p>
            <w:pPr>
              <w:spacing w:after="50" w:before="50"/>
              <w:jc w:val="left"/>
            </w:pPr>
            <w:r>
              <w:rPr>
                <w:sz w:val="20"/>
                <w:szCs w:val="20"/>
              </w:rPr>
              <w:t xml:space="preserve">Segunda temporada húmeda</w:t>
            </w:r>
          </w:p>
        </w:tc>
      </w:tr>
      <w:tr>
        <w:tc>
          <w:tcPr>
            <w:shd w:fill="F1F8F6" w:val="clear"/>
          </w:tcPr>
          <w:p>
            <w:pPr>
              <w:spacing w:after="50" w:before="50"/>
              <w:jc w:val="left"/>
            </w:pPr>
            <w:r>
              <w:rPr>
                <w:sz w:val="20"/>
                <w:szCs w:val="20"/>
              </w:rPr>
              <w:t xml:space="preserve">Noviembre</w:t>
            </w:r>
          </w:p>
        </w:tc>
        <w:tc>
          <w:tcPr>
            <w:shd w:fill="F1F8F6" w:val="clear"/>
          </w:tcPr>
          <w:p>
            <w:pPr>
              <w:spacing w:after="50" w:before="50"/>
              <w:jc w:val="left"/>
            </w:pPr>
            <w:r>
              <w:rPr>
                <w:sz w:val="20"/>
                <w:szCs w:val="20"/>
              </w:rPr>
              <w:t xml:space="preserve">240</w:t>
            </w:r>
          </w:p>
        </w:tc>
        <w:tc>
          <w:tcPr>
            <w:shd w:fill="F1F8F6" w:val="clear"/>
          </w:tcPr>
          <w:p>
            <w:pPr>
              <w:spacing w:after="50" w:before="50"/>
              <w:jc w:val="left"/>
            </w:pPr>
            <w:r>
              <w:rPr>
                <w:sz w:val="20"/>
                <w:szCs w:val="20"/>
              </w:rPr>
              <w:t xml:space="preserve">30</w:t>
            </w:r>
          </w:p>
        </w:tc>
        <w:tc>
          <w:tcPr>
            <w:shd w:fill="F1F8F6" w:val="clear"/>
          </w:tcPr>
          <w:p>
            <w:pPr>
              <w:spacing w:after="50" w:before="50"/>
              <w:jc w:val="left"/>
            </w:pPr>
            <w:r>
              <w:rPr>
                <w:sz w:val="20"/>
                <w:szCs w:val="20"/>
              </w:rPr>
              <w:t xml:space="preserve">Alta</w:t>
            </w:r>
          </w:p>
        </w:tc>
        <w:tc>
          <w:tcPr>
            <w:shd w:fill="F1F8F6" w:val="clear"/>
          </w:tcPr>
          <w:p>
            <w:pPr>
              <w:spacing w:after="50" w:before="50"/>
              <w:jc w:val="left"/>
            </w:pPr>
            <w:r>
              <w:rPr>
                <w:sz w:val="20"/>
                <w:szCs w:val="20"/>
              </w:rPr>
              <w:t xml:space="preserve">Segunda temporada húmeda</w:t>
            </w:r>
          </w:p>
        </w:tc>
      </w:tr>
      <w:tr>
        <w:tc>
          <w:tcPr>
            <w:shd w:fill="FFFFFF" w:val="clear"/>
          </w:tcPr>
          <w:p>
            <w:pPr>
              <w:spacing w:after="50" w:before="50"/>
              <w:jc w:val="left"/>
            </w:pPr>
            <w:r>
              <w:rPr>
                <w:sz w:val="20"/>
                <w:szCs w:val="20"/>
              </w:rPr>
              <w:t xml:space="preserve">Diciembre</w:t>
            </w:r>
          </w:p>
        </w:tc>
        <w:tc>
          <w:tcPr>
            <w:shd w:fill="FFFFFF" w:val="clear"/>
          </w:tcPr>
          <w:p>
            <w:pPr>
              <w:spacing w:after="50" w:before="50"/>
              <w:jc w:val="left"/>
            </w:pPr>
            <w:r>
              <w:rPr>
                <w:sz w:val="20"/>
                <w:szCs w:val="20"/>
              </w:rPr>
              <w:t xml:space="preserve">150</w:t>
            </w:r>
          </w:p>
        </w:tc>
        <w:tc>
          <w:tcPr>
            <w:shd w:fill="FFFFFF" w:val="clear"/>
          </w:tcPr>
          <w:p>
            <w:pPr>
              <w:spacing w:after="50" w:before="50"/>
              <w:jc w:val="left"/>
            </w:pPr>
            <w:r>
              <w:rPr>
                <w:sz w:val="20"/>
                <w:szCs w:val="20"/>
              </w:rPr>
              <w:t xml:space="preserve">18</w:t>
            </w:r>
          </w:p>
        </w:tc>
        <w:tc>
          <w:tcPr>
            <w:shd w:fill="FFFFFF" w:val="clear"/>
          </w:tcPr>
          <w:p>
            <w:pPr>
              <w:spacing w:after="50" w:before="50"/>
              <w:jc w:val="left"/>
            </w:pPr>
            <w:r>
              <w:rPr>
                <w:sz w:val="20"/>
                <w:szCs w:val="20"/>
              </w:rPr>
              <w:t xml:space="preserve">Media</w:t>
            </w:r>
          </w:p>
        </w:tc>
        <w:tc>
          <w:tcPr>
            <w:shd w:fill="FFFFFF" w:val="clear"/>
          </w:tcPr>
          <w:p>
            <w:pPr>
              <w:spacing w:after="50" w:before="50"/>
              <w:jc w:val="left"/>
            </w:pPr>
            <w:r>
              <w:rPr>
                <w:sz w:val="20"/>
                <w:szCs w:val="20"/>
              </w:rPr>
              <w:t xml:space="preserve">Transición húmeda-seca</w:t>
            </w:r>
          </w:p>
        </w:tc>
      </w:tr>
    </w:tbl>
    <w:p>
      <w:pPr>
        <w:spacing w:after="180" w:before="60"/>
        <w:jc w:val="left"/>
      </w:pPr>
      <w:r>
        <w:rPr>
          <w:i/>
          <w:iCs/>
          <w:color w:val="777777"/>
          <w:sz w:val="16"/>
          <w:szCs w:val="16"/>
        </w:rPr>
        <w:t xml:space="preserve">Fuente. Estimación basada en datos climatológicos IDEAM para la subzona hidrográfica SZH 2308 y régimen bimodal característico del Magdalena Medio. Los porcentajes de recarga son referenciales y deben validarse con la prueba de bombeo del pozo.</w:t>
      </w:r>
    </w:p>
    <w:p>
      <w:pPr>
        <w:spacing w:after="160" w:line="320"/>
        <w:jc w:val="both"/>
      </w:pPr>
      <w:r>
        <w:rPr>
          <w:sz w:val="22"/>
          <w:szCs w:val="22"/>
        </w:rPr>
        <w:t xml:space="preserve">El régimen climático de Sabana de Torres es bimodal, con dos temporadas húmedas (abril–mayo y septiembre–noviembre) y dos períodos de menor precipitación (enero–marzo y julio–agosto). La precipitación media anual de la zona oscila entre 2.800 y 3.500 mm/año según registros de estaciones de la red IDEAM próximas al municipio, lo que garantiza una recarga sostenida del acuífero a lo largo del año hidrológico. Esta condición representa una ventaja significativa para la sostenibilidad de la explotación subterránea, dado que los períodos de menor recarga no superan en duración los tres meses consecutivos.</w:t>
      </w:r>
    </w:p>
    <w:p>
      <w:pPr>
        <w:pStyle w:val="Heading2"/>
        <w:spacing w:after="140" w:before="240"/>
      </w:pPr>
      <w:r>
        <w:rPr>
          <w:b/>
          <w:bCs/>
          <w:color w:val="4A9D8E"/>
          <w:sz w:val="24"/>
          <w:szCs w:val="24"/>
        </w:rPr>
        <w:t xml:space="preserve">8.3. Oferta en época seca</w:t>
      </w:r>
    </w:p>
    <w:p>
      <w:pPr>
        <w:spacing w:after="160" w:line="320"/>
        <w:jc w:val="both"/>
      </w:pPr>
      <w:r>
        <w:rPr>
          <w:sz w:val="22"/>
          <w:szCs w:val="22"/>
        </w:rPr>
        <w:t xml:space="preserve">Durante los períodos de menor precipitación (enero–marzo), el nivel freático del acuífero experimenta un descenso moderado respecto al nivel estático registrado en temporada húmeda. En acuíferos análogos de la llanura del Magdalena Medio, este descenso estacional oscila entre 0,5 y 3,0 metros, sin que ello implique la reducción del caudal de explotación del pozo si este opera dentro de los parámetros definidos por la prueba de rendimiento. El caudal mínimo de explotación sostenible en época seca se estima, de forma conservadora, en no menos del 70 % del caudal medio anual del pozo, lo que en términos operativos del proyecto garantiza el abastecimiento continuo de la demanda total de 4,219 L/s durante todo el año hidrológico.</w:t>
      </w:r>
    </w:p>
    <w:p>
      <w:pPr>
        <w:spacing w:after="160" w:line="320"/>
        <w:jc w:val="both"/>
      </w:pPr>
      <w:r>
        <w:rPr>
          <w:sz w:val="22"/>
          <w:szCs w:val="22"/>
        </w:rPr>
        <w:t xml:space="preserve">Como medida de resiliencia ante eventos de estiaje prolongado, la granja dispone de un reservorio de aguas lluvias identificado en el levantamiento de campo con coordenadas en latitud 7,274473, longitud -73,558548. Este reservorio actúa como fuente complementaria que reduce la dependencia exclusiva del pozo profundo durante los meses de menor recarga, contribuyendo a la seguridad hídrica del sistema de abastecimiento. La integración de ambas fuentes —pozo y reservorio— configura un esquema de abastecimiento con redundancia operativa.</w:t>
      </w:r>
    </w:p>
    <w:p>
      <w:pPr>
        <w:pStyle w:val="Heading2"/>
        <w:spacing w:after="140" w:before="240"/>
      </w:pPr>
      <w:r>
        <w:rPr>
          <w:b/>
          <w:bCs/>
          <w:color w:val="4A9D8E"/>
          <w:sz w:val="24"/>
          <w:szCs w:val="24"/>
        </w:rPr>
        <w:t xml:space="preserve">8.4. Caudal ambiental</w:t>
      </w:r>
    </w:p>
    <w:p>
      <w:pPr>
        <w:spacing w:after="160" w:line="320"/>
        <w:jc w:val="both"/>
      </w:pPr>
      <w:r>
        <w:rPr>
          <w:sz w:val="22"/>
          <w:szCs w:val="22"/>
        </w:rPr>
        <w:t xml:space="preserve">Para fuentes subterráneas explotadas mediante pozo, el concepto de caudal ambiental se interpreta como el volumen de agua que debe permanecer en el acuífero para garantizar la sostenibilidad del sistema hidrogeológico, la no afectación de los cuerpos de agua superficiales con los que el acuífero mantiene conexión hidráulica, y la preservación de los ecosistemas dependientes de aguas subterráneas (EDAS). En el marco del régimen de concesiones del Decreto 1076 de 2015, la autoridad ambiental competente —la CAS— fijará el caudal máximo concesionable con base en los resultados de la prueba de bombeo, de manera que la extracción no supere el caudal de explotación sostenible ni afecte el nivel de base del acuífero. El caudal solicitado de 4,219 L/s se enmarca dentro de los rangos típicos de explotación de pozos de la región y, a criterio técnico, no compromete el equilibrio del sistema acuífero.</w:t>
      </w:r>
    </w:p>
    <w:p>
      <w:pPr>
        <w:pStyle w:val="Heading2"/>
        <w:spacing w:after="140" w:before="240"/>
      </w:pPr>
      <w:r>
        <w:rPr>
          <w:b/>
          <w:bCs/>
          <w:color w:val="4A9D8E"/>
          <w:sz w:val="24"/>
          <w:szCs w:val="24"/>
        </w:rPr>
        <w:t xml:space="preserve">8.5. Índice de Uso del Agua (IUA)</w:t>
      </w:r>
    </w:p>
    <w:p>
      <w:pPr>
        <w:spacing w:after="160" w:line="320"/>
        <w:jc w:val="both"/>
      </w:pPr>
      <w:r>
        <w:rPr>
          <w:sz w:val="22"/>
          <w:szCs w:val="22"/>
        </w:rPr>
        <w:t xml:space="preserve">El Índice de Uso del Agua (IUA) expresa la relación porcentual entre la demanda hídrica de un proyecto o sector y la oferta hídrica disponible en la unidad hidrográfica de referencia. Para fuentes subterráneas, su cálculo se establece como el cociente entre el caudal de extracción solicitado y el caudal de explotación sostenible del pozo. Utilizando el límite inferior del rango referencial de oferta sostenible (5 L/s), correspondiente al escenario más conservador, el IUA resulta:</w:t>
      </w:r>
    </w:p>
    <w:p>
      <w:pPr>
        <w:spacing w:after="160" w:line="320"/>
        <w:jc w:val="both"/>
      </w:pPr>
      <w:r>
        <w:rPr>
          <w:sz w:val="22"/>
          <w:szCs w:val="22"/>
        </w:rPr>
        <w:t xml:space="preserve">IUA = (Qdemandado / Qoferta sostenible) × 100 = (4,219 L/s / 5,000 L/s) × 100 = 84,4 %</w:t>
      </w:r>
    </w:p>
    <w:p>
      <w:pPr>
        <w:spacing w:after="160" w:line="320"/>
        <w:jc w:val="both"/>
      </w:pPr>
      <w:r>
        <w:rPr>
          <w:sz w:val="22"/>
          <w:szCs w:val="22"/>
        </w:rPr>
        <w:t xml:space="preserve">Este valor sitúa el índice en la categoría ALTO según la metodología del IDEAM (IUA entre 50 % y 100 %), lo que refleja que el escenario de oferta mínima supone una presión hídrica elevada sobre el pozo. Sin embargo, este resultado es consecuencia directa del empleo de la estimación conservadora de 5 L/s como denominador. Si el caudal de explotación sostenible real del pozo, determinado mediante prueba de bombeo, resulta ser de 10 L/s —valor frecuente en la región—, el IUA se reduciría a 42,2 %, categoría MEDIA. La determinación definitiva del IUA queda supeditada a los resultados de la prueba de rendimiento del pozo.</w:t>
      </w:r>
    </w:p>
    <w:p>
      <w:pPr>
        <w:spacing w:after="90" w:before="220"/>
        <w:jc w:val="center"/>
      </w:pPr>
      <w:r>
        <w:rPr>
          <w:b/>
          <w:bCs/>
          <w:sz w:val="20"/>
          <w:szCs w:val="20"/>
        </w:rPr>
        <w:t xml:space="preserve">Tabla 11. Escenarios de IUA según caudal de explotación sostenible del pozo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Escenario</w:t>
            </w:r>
          </w:p>
        </w:tc>
        <w:tc>
          <w:tcPr>
            <w:shd w:fill="4A9D8E" w:val="clear"/>
          </w:tcPr>
          <w:p>
            <w:pPr>
              <w:spacing w:after="50" w:before="50"/>
              <w:jc w:val="center"/>
            </w:pPr>
            <w:r>
              <w:rPr>
                <w:b/>
                <w:bCs/>
                <w:color w:val="FFFFFF"/>
                <w:sz w:val="20"/>
                <w:szCs w:val="20"/>
              </w:rPr>
              <w:t xml:space="preserve">Caudal sostenible del pozo (L/s)</w:t>
            </w:r>
          </w:p>
        </w:tc>
        <w:tc>
          <w:tcPr>
            <w:shd w:fill="4A9D8E" w:val="clear"/>
          </w:tcPr>
          <w:p>
            <w:pPr>
              <w:spacing w:after="50" w:before="50"/>
              <w:jc w:val="center"/>
            </w:pPr>
            <w:r>
              <w:rPr>
                <w:b/>
                <w:bCs/>
                <w:color w:val="FFFFFF"/>
                <w:sz w:val="20"/>
                <w:szCs w:val="20"/>
              </w:rPr>
              <w:t xml:space="preserve">Caudal demandado (L/s)</w:t>
            </w:r>
          </w:p>
        </w:tc>
        <w:tc>
          <w:tcPr>
            <w:shd w:fill="4A9D8E" w:val="clear"/>
          </w:tcPr>
          <w:p>
            <w:pPr>
              <w:spacing w:after="50" w:before="50"/>
              <w:jc w:val="center"/>
            </w:pPr>
            <w:r>
              <w:rPr>
                <w:b/>
                <w:bCs/>
                <w:color w:val="FFFFFF"/>
                <w:sz w:val="20"/>
                <w:szCs w:val="20"/>
              </w:rPr>
              <w:t xml:space="preserve">IUA (%)</w:t>
            </w:r>
          </w:p>
        </w:tc>
        <w:tc>
          <w:tcPr>
            <w:shd w:fill="4A9D8E" w:val="clear"/>
          </w:tcPr>
          <w:p>
            <w:pPr>
              <w:spacing w:after="50" w:before="50"/>
              <w:jc w:val="center"/>
            </w:pPr>
            <w:r>
              <w:rPr>
                <w:b/>
                <w:bCs/>
                <w:color w:val="FFFFFF"/>
                <w:sz w:val="20"/>
                <w:szCs w:val="20"/>
              </w:rPr>
              <w:t xml:space="preserve">Categoría IDEAM</w:t>
            </w:r>
          </w:p>
        </w:tc>
      </w:tr>
      <w:tr>
        <w:tc>
          <w:tcPr>
            <w:shd w:fill="F1F8F6" w:val="clear"/>
          </w:tcPr>
          <w:p>
            <w:pPr>
              <w:spacing w:after="50" w:before="50"/>
              <w:jc w:val="left"/>
            </w:pPr>
            <w:r>
              <w:rPr>
                <w:sz w:val="20"/>
                <w:szCs w:val="20"/>
              </w:rPr>
              <w:t xml:space="preserve">Conservador (mínimo referencial)</w:t>
            </w:r>
          </w:p>
        </w:tc>
        <w:tc>
          <w:tcPr>
            <w:shd w:fill="F1F8F6" w:val="clear"/>
          </w:tcPr>
          <w:p>
            <w:pPr>
              <w:spacing w:after="50" w:before="50"/>
              <w:jc w:val="left"/>
            </w:pPr>
            <w:r>
              <w:rPr>
                <w:sz w:val="20"/>
                <w:szCs w:val="20"/>
              </w:rPr>
              <w:t xml:space="preserve">5,000</w:t>
            </w:r>
          </w:p>
        </w:tc>
        <w:tc>
          <w:tcPr>
            <w:shd w:fill="F1F8F6" w:val="clear"/>
          </w:tcPr>
          <w:p>
            <w:pPr>
              <w:spacing w:after="50" w:before="50"/>
              <w:jc w:val="left"/>
            </w:pPr>
            <w:r>
              <w:rPr>
                <w:sz w:val="20"/>
                <w:szCs w:val="20"/>
              </w:rPr>
              <w:t xml:space="preserve">4,219</w:t>
            </w:r>
          </w:p>
        </w:tc>
        <w:tc>
          <w:tcPr>
            <w:shd w:fill="F1F8F6" w:val="clear"/>
          </w:tcPr>
          <w:p>
            <w:pPr>
              <w:spacing w:after="50" w:before="50"/>
              <w:jc w:val="left"/>
            </w:pPr>
            <w:r>
              <w:rPr>
                <w:sz w:val="20"/>
                <w:szCs w:val="20"/>
              </w:rPr>
              <w:t xml:space="preserve">84,4</w:t>
            </w:r>
          </w:p>
        </w:tc>
        <w:tc>
          <w:tcPr>
            <w:shd w:fill="F1F8F6" w:val="clear"/>
          </w:tcPr>
          <w:p>
            <w:pPr>
              <w:spacing w:after="50" w:before="50"/>
              <w:jc w:val="left"/>
            </w:pPr>
            <w:r>
              <w:rPr>
                <w:sz w:val="20"/>
                <w:szCs w:val="20"/>
              </w:rPr>
              <w:t xml:space="preserve">Alto</w:t>
            </w:r>
          </w:p>
        </w:tc>
      </w:tr>
      <w:tr>
        <w:tc>
          <w:tcPr>
            <w:shd w:fill="FFFFFF" w:val="clear"/>
          </w:tcPr>
          <w:p>
            <w:pPr>
              <w:spacing w:after="50" w:before="50"/>
              <w:jc w:val="left"/>
            </w:pPr>
            <w:r>
              <w:rPr>
                <w:sz w:val="20"/>
                <w:szCs w:val="20"/>
              </w:rPr>
              <w:t xml:space="preserve">Moderado</w:t>
            </w:r>
          </w:p>
        </w:tc>
        <w:tc>
          <w:tcPr>
            <w:shd w:fill="FFFFFF" w:val="clear"/>
          </w:tcPr>
          <w:p>
            <w:pPr>
              <w:spacing w:after="50" w:before="50"/>
              <w:jc w:val="left"/>
            </w:pPr>
            <w:r>
              <w:rPr>
                <w:sz w:val="20"/>
                <w:szCs w:val="20"/>
              </w:rPr>
              <w:t xml:space="preserve">10,000</w:t>
            </w:r>
          </w:p>
        </w:tc>
        <w:tc>
          <w:tcPr>
            <w:shd w:fill="FFFFFF" w:val="clear"/>
          </w:tcPr>
          <w:p>
            <w:pPr>
              <w:spacing w:after="50" w:before="50"/>
              <w:jc w:val="left"/>
            </w:pPr>
            <w:r>
              <w:rPr>
                <w:sz w:val="20"/>
                <w:szCs w:val="20"/>
              </w:rPr>
              <w:t xml:space="preserve">4,219</w:t>
            </w:r>
          </w:p>
        </w:tc>
        <w:tc>
          <w:tcPr>
            <w:shd w:fill="FFFFFF" w:val="clear"/>
          </w:tcPr>
          <w:p>
            <w:pPr>
              <w:spacing w:after="50" w:before="50"/>
              <w:jc w:val="left"/>
            </w:pPr>
            <w:r>
              <w:rPr>
                <w:sz w:val="20"/>
                <w:szCs w:val="20"/>
              </w:rPr>
              <w:t xml:space="preserve">42,2</w:t>
            </w:r>
          </w:p>
        </w:tc>
        <w:tc>
          <w:tcPr>
            <w:shd w:fill="FFFFFF" w:val="clear"/>
          </w:tcPr>
          <w:p>
            <w:pPr>
              <w:spacing w:after="50" w:before="50"/>
              <w:jc w:val="left"/>
            </w:pPr>
            <w:r>
              <w:rPr>
                <w:sz w:val="20"/>
                <w:szCs w:val="20"/>
              </w:rPr>
              <w:t xml:space="preserve">Medio</w:t>
            </w:r>
          </w:p>
        </w:tc>
      </w:tr>
      <w:tr>
        <w:tc>
          <w:tcPr>
            <w:shd w:fill="F1F8F6" w:val="clear"/>
          </w:tcPr>
          <w:p>
            <w:pPr>
              <w:spacing w:after="50" w:before="50"/>
              <w:jc w:val="left"/>
            </w:pPr>
            <w:r>
              <w:rPr>
                <w:sz w:val="20"/>
                <w:szCs w:val="20"/>
              </w:rPr>
              <w:t xml:space="preserve">Favorable</w:t>
            </w:r>
          </w:p>
        </w:tc>
        <w:tc>
          <w:tcPr>
            <w:shd w:fill="F1F8F6" w:val="clear"/>
          </w:tcPr>
          <w:p>
            <w:pPr>
              <w:spacing w:after="50" w:before="50"/>
              <w:jc w:val="left"/>
            </w:pPr>
            <w:r>
              <w:rPr>
                <w:sz w:val="20"/>
                <w:szCs w:val="20"/>
              </w:rPr>
              <w:t xml:space="preserve">15,000</w:t>
            </w:r>
          </w:p>
        </w:tc>
        <w:tc>
          <w:tcPr>
            <w:shd w:fill="F1F8F6" w:val="clear"/>
          </w:tcPr>
          <w:p>
            <w:pPr>
              <w:spacing w:after="50" w:before="50"/>
              <w:jc w:val="left"/>
            </w:pPr>
            <w:r>
              <w:rPr>
                <w:sz w:val="20"/>
                <w:szCs w:val="20"/>
              </w:rPr>
              <w:t xml:space="preserve">4,219</w:t>
            </w:r>
          </w:p>
        </w:tc>
        <w:tc>
          <w:tcPr>
            <w:shd w:fill="F1F8F6" w:val="clear"/>
          </w:tcPr>
          <w:p>
            <w:pPr>
              <w:spacing w:after="50" w:before="50"/>
              <w:jc w:val="left"/>
            </w:pPr>
            <w:r>
              <w:rPr>
                <w:sz w:val="20"/>
                <w:szCs w:val="20"/>
              </w:rPr>
              <w:t xml:space="preserve">28,1</w:t>
            </w:r>
          </w:p>
        </w:tc>
        <w:tc>
          <w:tcPr>
            <w:shd w:fill="F1F8F6" w:val="clear"/>
          </w:tcPr>
          <w:p>
            <w:pPr>
              <w:spacing w:after="50" w:before="50"/>
              <w:jc w:val="left"/>
            </w:pPr>
            <w:r>
              <w:rPr>
                <w:sz w:val="20"/>
                <w:szCs w:val="20"/>
              </w:rPr>
              <w:t xml:space="preserve">Moderado</w:t>
            </w:r>
          </w:p>
        </w:tc>
      </w:tr>
      <w:tr>
        <w:tc>
          <w:tcPr>
            <w:shd w:fill="FFFFFF" w:val="clear"/>
          </w:tcPr>
          <w:p>
            <w:pPr>
              <w:spacing w:after="50" w:before="50"/>
              <w:jc w:val="left"/>
            </w:pPr>
            <w:r>
              <w:rPr>
                <w:sz w:val="20"/>
                <w:szCs w:val="20"/>
              </w:rPr>
              <w:t xml:space="preserve">Óptimo (máximo referencial)</w:t>
            </w:r>
          </w:p>
        </w:tc>
        <w:tc>
          <w:tcPr>
            <w:shd w:fill="FFFFFF" w:val="clear"/>
          </w:tcPr>
          <w:p>
            <w:pPr>
              <w:spacing w:after="50" w:before="50"/>
              <w:jc w:val="left"/>
            </w:pPr>
            <w:r>
              <w:rPr>
                <w:sz w:val="20"/>
                <w:szCs w:val="20"/>
              </w:rPr>
              <w:t xml:space="preserve">25,000</w:t>
            </w:r>
          </w:p>
        </w:tc>
        <w:tc>
          <w:tcPr>
            <w:shd w:fill="FFFFFF" w:val="clear"/>
          </w:tcPr>
          <w:p>
            <w:pPr>
              <w:spacing w:after="50" w:before="50"/>
              <w:jc w:val="left"/>
            </w:pPr>
            <w:r>
              <w:rPr>
                <w:sz w:val="20"/>
                <w:szCs w:val="20"/>
              </w:rPr>
              <w:t xml:space="preserve">4,219</w:t>
            </w:r>
          </w:p>
        </w:tc>
        <w:tc>
          <w:tcPr>
            <w:shd w:fill="FFFFFF" w:val="clear"/>
          </w:tcPr>
          <w:p>
            <w:pPr>
              <w:spacing w:after="50" w:before="50"/>
              <w:jc w:val="left"/>
            </w:pPr>
            <w:r>
              <w:rPr>
                <w:sz w:val="20"/>
                <w:szCs w:val="20"/>
              </w:rPr>
              <w:t xml:space="preserve">16,9</w:t>
            </w:r>
          </w:p>
        </w:tc>
        <w:tc>
          <w:tcPr>
            <w:shd w:fill="FFFFFF" w:val="clear"/>
          </w:tcPr>
          <w:p>
            <w:pPr>
              <w:spacing w:after="50" w:before="50"/>
              <w:jc w:val="left"/>
            </w:pPr>
            <w:r>
              <w:rPr>
                <w:sz w:val="20"/>
                <w:szCs w:val="20"/>
              </w:rPr>
              <w:t xml:space="preserve">Bajo</w:t>
            </w:r>
          </w:p>
        </w:tc>
      </w:tr>
    </w:tbl>
    <w:p>
      <w:pPr>
        <w:spacing w:after="180" w:before="60"/>
        <w:jc w:val="left"/>
      </w:pPr>
      <w:r>
        <w:rPr>
          <w:i/>
          <w:iCs/>
          <w:color w:val="777777"/>
          <w:sz w:val="16"/>
          <w:szCs w:val="16"/>
        </w:rPr>
        <w:t xml:space="preserve">Fuente. Cálculo propio con base en el caudal solicitado del expediente y rangos de oferta referencial SGC–IDEAM para acuíferos del Magdalena Medio. IUA definitivo sujeto a resultados de prueba de bombeo.</w:t>
      </w:r>
    </w:p>
    <w:p>
      <w:pPr>
        <w:pStyle w:val="Heading2"/>
        <w:spacing w:after="140" w:before="240"/>
      </w:pPr>
      <w:r>
        <w:rPr>
          <w:b/>
          <w:bCs/>
          <w:color w:val="4A9D8E"/>
          <w:sz w:val="24"/>
          <w:szCs w:val="24"/>
        </w:rPr>
        <w:t xml:space="preserve">8.6. Índice de Retención y Regulación Hídrica (IRH)</w:t>
      </w:r>
    </w:p>
    <w:p>
      <w:pPr>
        <w:spacing w:after="160" w:line="320"/>
        <w:jc w:val="both"/>
      </w:pPr>
      <w:r>
        <w:rPr>
          <w:sz w:val="22"/>
          <w:szCs w:val="22"/>
        </w:rPr>
        <w:t xml:space="preserve">El Índice de Retención y Regulación Hídrica (IRH) mide la capacidad del sistema hídrico para mantener un régimen de caudales relativamente estable a lo largo del año, amortiguando las variaciones estacionales de la precipitación. Para sistemas de aguas subterráneas, el IRH es inherentemente superior al de corrientes superficiales no reguladas, dado que el acuífero actúa como reservorio natural con tiempos de tránsito del agua que oscilan entre semanas y varios meses. Para la subzona SZH 2308 (Sogamoso), el IDEAM reporta valores de IRH en el rango de 0,60 a 0,75 para las unidades hidrológicas del Magdalena Medio, lo que corresponde a una capacidad de regulación MEDIA-ALTA. En el contexto del pozo profundo, la regularidad de la oferta subterránea supera a la de las fuentes superficiales de la misma subzona, reforzando la idoneidad técnica de la fuente seleccionada para garantizar el suministro continuo a la Granja Avícola Jamaica.</w:t>
      </w:r>
    </w:p>
    <w:p>
      <w:pPr>
        <w:pStyle w:val="Heading2"/>
        <w:spacing w:after="140" w:before="240"/>
      </w:pPr>
      <w:r>
        <w:rPr>
          <w:b/>
          <w:bCs/>
          <w:color w:val="4A9D8E"/>
          <w:sz w:val="24"/>
          <w:szCs w:val="24"/>
        </w:rPr>
        <w:t xml:space="preserve">8.7. Fuentes alternas de abastecimiento</w:t>
      </w:r>
    </w:p>
    <w:p>
      <w:pPr>
        <w:spacing w:after="160" w:line="320"/>
        <w:jc w:val="both"/>
      </w:pPr>
      <w:r>
        <w:rPr>
          <w:sz w:val="22"/>
          <w:szCs w:val="22"/>
        </w:rPr>
        <w:t xml:space="preserve">El levantamiento de campo registró la existencia de un reservorio de captación de aguas lluvias como fuente alterna de abastecimiento. Este reservorio cuenta con medidor de caudales, según lo consignado en el punto de inspección 14 del levantamiento, lo que permite cuantificar los volúmenes captados y llevar un registro de consumo diferenciado por fuente. La capacidad de almacenamiento del reservorio y sus características hidráulicas no fueron reportadas en el levantamiento de campo; sin embargo, su existencia constituye un componente relevante del balance hídrico del proyecto, en particular durante los meses de mayor precipitación (abril–mayo y octubre–noviembre), cuando la captación de aguas lluvias puede sustituir parcialmente la extracción del pozo, reduciendo la presión sobre el acuífero y contribuyendo al cumplimiento de las metas de ahorro del PUEAA.</w:t>
      </w:r>
    </w:p>
    <w:p>
      <w:r>
        <w:br w:type="page"/>
      </w:r>
    </w:p>
    <w:p>
      <w:pPr>
        <w:pStyle w:val="Heading1"/>
        <w:spacing w:after="200" w:before="360"/>
      </w:pPr>
      <w:r>
        <w:rPr>
          <w:b/>
          <w:bCs/>
          <w:color w:val="1F2937"/>
          <w:sz w:val="28"/>
          <w:szCs w:val="28"/>
        </w:rPr>
        <w:t xml:space="preserve">9. RIESGOS SOBRE LA OFERTA HÍDRICA</w:t>
      </w:r>
    </w:p>
    <w:p>
      <w:pPr>
        <w:pStyle w:val="Heading2"/>
        <w:spacing w:after="140" w:before="240"/>
      </w:pPr>
      <w:r>
        <w:rPr>
          <w:b/>
          <w:bCs/>
          <w:color w:val="4A9D8E"/>
          <w:sz w:val="24"/>
          <w:szCs w:val="24"/>
        </w:rPr>
        <w:t xml:space="preserve">9.1. Variabilidad climática — Fenómenos El Niño y La Niña</w:t>
      </w:r>
    </w:p>
    <w:p>
      <w:pPr>
        <w:spacing w:after="160" w:line="320"/>
        <w:jc w:val="both"/>
      </w:pPr>
      <w:r>
        <w:rPr>
          <w:sz w:val="22"/>
          <w:szCs w:val="22"/>
        </w:rPr>
        <w:t xml:space="preserve">El área de localización del proyecto, en la vereda Aguas Claras del municipio de Sabana de Torres, se inscribe en la llanura aluvial del Magdalena Medio santandereano, subzona hidrográfica del río Sogamoso (código IDEAM 2308). Esta subzona exhibe un régimen de precipitación bimodal, con períodos secos principales entre diciembre y marzo, y un segundo período seco entre junio y agosto. Durante los episodios del fenómeno El Niño (fase cálida de ENSO), las series históricas regionales reportadas por el IDEAM muestran reducciones de precipitación del orden del 20 % al 40 % respecto a la media multianual, con efectos directos sobre la recarga de acuíferos libres y semiconfinados. Esta reducción en la recarga infiltrante se traduce en descensos del nivel freático y, en casos extremos, en disminución del caudal específico de pozos profundos en explotación.</w:t>
      </w:r>
    </w:p>
    <w:p>
      <w:pPr>
        <w:spacing w:after="160" w:line="320"/>
        <w:jc w:val="both"/>
      </w:pPr>
      <w:r>
        <w:rPr>
          <w:sz w:val="22"/>
          <w:szCs w:val="22"/>
        </w:rPr>
        <w:t xml:space="preserve">La fase fría (La Niña), si bien incrementa la precipitación y favorece la recarga del acuífero, genera riesgos de inundación en la llanura aluvial y puede comprometer la calidad del agua subterránea por arrastre de contaminantes superficiales hacia zonas de recarga. En el horizonte de cinco años del presente PUEAA, la probabilidad de ocurrencia de al menos un evento ENSO moderado o fuerte es significativa, de acuerdo con los ciclos históricos documentados por el IDEAM. El titular debe monitorear los boletines periódicos del IDEAM sobre el estado de la variabilidad climática y activar los protocolos de contingencia hídrica descritos en la sección 9.5 ante alertas tempranas de sequía.</w:t>
      </w:r>
    </w:p>
    <w:p>
      <w:pPr>
        <w:pStyle w:val="Heading2"/>
        <w:spacing w:after="140" w:before="240"/>
      </w:pPr>
      <w:r>
        <w:rPr>
          <w:b/>
          <w:bCs/>
          <w:color w:val="4A9D8E"/>
          <w:sz w:val="24"/>
          <w:szCs w:val="24"/>
        </w:rPr>
        <w:t xml:space="preserve">9.2. Cambio climático — Escenarios regionales de largo plazo</w:t>
      </w:r>
    </w:p>
    <w:p>
      <w:pPr>
        <w:spacing w:after="160" w:line="320"/>
        <w:jc w:val="both"/>
      </w:pPr>
      <w:r>
        <w:rPr>
          <w:sz w:val="22"/>
          <w:szCs w:val="22"/>
        </w:rPr>
        <w:t xml:space="preserve">Los escenarios de cambio climático del IDEAM para la región del Magdalena Medio–Sogamoso proyectan, bajo escenarios RCP 4.5 y RCP 8.5, un aumento de la temperatura media del aire entre 1,0 °C y 2,5 °C hacia el año 2050, acompañado de una redistribución espacial y temporal de las lluvias. Para el departamento de Santander, en particular las zonas de piedemonte y llanura del Sogamoso, se proyecta una reducción de la precipitación anual en los meses secos de entre el 10 % y el 25 % en el escenario más conservador, con impactos acumulativos sobre la recarga de los sistemas acuíferos que abastecen pozos profundos de uso pecuario. El aumento de temperatura incrementa además la evapotranspiración potencial, reduciendo la fracción de precipitación efectiva que alimenta la zona de saturación del acuífero.</w:t>
      </w:r>
    </w:p>
    <w:p>
      <w:pPr>
        <w:spacing w:after="160" w:line="320"/>
        <w:jc w:val="both"/>
      </w:pPr>
      <w:r>
        <w:rPr>
          <w:sz w:val="22"/>
          <w:szCs w:val="22"/>
        </w:rPr>
        <w:t xml:space="preserve">En este contexto, el caudal de diseño del pozo (4,219 L/s), fundamentado en la demanda actual de la granja, debe evaluarse periódicamente frente a la tendencia de reducción de la recarga. Se recomienda que el titular realice aforos semestrales del nivel estático y dinámico del pozo para detectar tendencias de abatimiento atribuibles tanto a la extracción como a la reducción de la recarga por cambio climático, y ajuste el plan de contingencia en consecuencia.</w:t>
      </w:r>
    </w:p>
    <w:p>
      <w:pPr>
        <w:pStyle w:val="Heading2"/>
        <w:spacing w:after="140" w:before="240"/>
      </w:pPr>
      <w:r>
        <w:rPr>
          <w:b/>
          <w:bCs/>
          <w:color w:val="4A9D8E"/>
          <w:sz w:val="24"/>
          <w:szCs w:val="24"/>
        </w:rPr>
        <w:t xml:space="preserve">9.3. Presiones antrópicas sobre la zona de recarga</w:t>
      </w:r>
    </w:p>
    <w:p>
      <w:pPr>
        <w:spacing w:after="160" w:line="320"/>
        <w:jc w:val="both"/>
      </w:pPr>
      <w:r>
        <w:rPr>
          <w:sz w:val="22"/>
          <w:szCs w:val="22"/>
        </w:rPr>
        <w:t xml:space="preserve">La actividad avícola intensiva es una de las actividades económicas predominantes en Sabana de Torres, lo que implica la coexistencia de múltiples captaciones subterráneas en la misma unidad hidrogeológica. La superposición de conos de abatimiento asociados a pozos operando en condiciones similares representa un riesgo de interferencia hídrica que puede reducir la capacidad específica del pozo del proyecto en el mediano plazo. Adicionalmente, el avance de la frontera agropecuaria y la reducción de coberturas boscosas en las zonas de recarga del acuífero disminuyen la infiltración efectiva y aceleran la escorrentía superficial, limitando la reposición natural del sistema subterráneo. La presencia de actividades de agricultura intensiva con aplicación de agroquímicos en el área de influencia constituye un riesgo de contaminación difusa hacia el acuífero, particularmente en sectores con niveles freáticos poco profundos.</w:t>
      </w:r>
    </w:p>
    <w:p>
      <w:pPr>
        <w:pStyle w:val="Heading2"/>
        <w:spacing w:after="140" w:before="240"/>
      </w:pPr>
      <w:r>
        <w:rPr>
          <w:b/>
          <w:bCs/>
          <w:color w:val="4A9D8E"/>
          <w:sz w:val="24"/>
          <w:szCs w:val="24"/>
        </w:rPr>
        <w:t xml:space="preserve">9.4. Riesgos geohidrológicos del sistema de captación</w:t>
      </w:r>
    </w:p>
    <w:p>
      <w:pPr>
        <w:spacing w:after="160" w:line="320"/>
        <w:jc w:val="both"/>
      </w:pPr>
      <w:r>
        <w:rPr>
          <w:sz w:val="22"/>
          <w:szCs w:val="22"/>
        </w:rPr>
        <w:t xml:space="preserve">El principal riesgo geohidrológico identificado corresponde al envejecimiento y colmatación del pozo profundo, que puede manifestarse como reducción progresiva del caudal de extracción por incrustaciones bioquímicas o físicas en la rejilla de captación. La ausencia de información detallada sobre la litología del acuífero en el expediente impide cuantificar la tasa de colmatación esperada; no obstante, en acuíferos de la llanura aluvial del Sogamoso con materiales de granulometría fina a media, este riesgo es moderado. Un segundo riesgo corresponde a la contaminación puntual del acuífero por deficiencia en el sello sanitario del pozo o por inadecuada disposición de residuos orgánicos en superficie, lo que podría deteriorar la calidad del agua captada y exigir tratamientos adicionales o la suspensión temporal del uso. Finalmente, eventos de subsidencia o compactación del terreno por extracción excesiva constituyen un riesgo de baja probabilidad pero de alto impacto en la integridad estructural del pozo.</w:t>
      </w:r>
    </w:p>
    <w:p>
      <w:pPr>
        <w:pStyle w:val="Heading2"/>
        <w:spacing w:after="140" w:before="240"/>
      </w:pPr>
      <w:r>
        <w:rPr>
          <w:b/>
          <w:bCs/>
          <w:color w:val="4A9D8E"/>
          <w:sz w:val="24"/>
          <w:szCs w:val="24"/>
        </w:rPr>
        <w:t xml:space="preserve">9.5. Medidas de manejo y contingencia hídrica</w:t>
      </w:r>
    </w:p>
    <w:p>
      <w:pPr>
        <w:spacing w:after="160" w:line="320"/>
        <w:jc w:val="both"/>
      </w:pPr>
      <w:r>
        <w:rPr>
          <w:sz w:val="22"/>
          <w:szCs w:val="22"/>
        </w:rPr>
        <w:t xml:space="preserve">El proyecto dispone de un reservorio de aguas lluvias identificado durante el levantamiento de campo, que opera como fuente hídrica alterna al pozo profundo. Esta fuente de respaldo es un elemento clave del plan de contingencia ante eventos de reducción de la oferta subterránea por variabilidad climática extrema o fallas operativas del pozo. Los tres tanques de almacenamiento de agua tratada, con capacidad individual de 100 m³ (300 m³ en total), permiten sostener la operación continua de la granja durante períodos de restricción de extracción del pozo, amortiguando los efectos de interrupciones cortas. El medidor de caudal instalado en el punto de captación del pozo, y el medidor en el reservorio, permiten realizar el seguimiento en tiempo real del volumen captado y la activación oportuna de protocolos de reducción de consumo.</w:t>
      </w:r>
    </w:p>
    <w:p>
      <w:pPr>
        <w:spacing w:after="160" w:line="320"/>
        <w:jc w:val="both"/>
      </w:pPr>
      <w:r>
        <w:rPr>
          <w:sz w:val="22"/>
          <w:szCs w:val="22"/>
        </w:rPr>
        <w:t xml:space="preserve">Como medidas complementarias, el titular debe establecer un programa anual de inspección y mantenimiento preventivo del pozo que incluya verificación del nivel estático y dinámico, revisión del estado de la rejilla y del sello sanitario, y análisis fisicoquímico del agua captada. Ante una reducción del caudal de extracción superior al 15 % del caudal concesionado, se debe activar el uso prioritario del reservorio de aguas lluvias y reducir los consumos no esenciales, priorizando el agua disponible para el uso pecuario y el consumo humano de los 34 trabajadores, conforme a la jerarquía de usos establecida en el desglose de la concesión.</w:t>
      </w:r>
    </w:p>
    <w:p>
      <w:pPr>
        <w:spacing w:after="90" w:before="220"/>
        <w:jc w:val="center"/>
      </w:pPr>
      <w:r>
        <w:rPr>
          <w:b/>
          <w:bCs/>
          <w:sz w:val="20"/>
          <w:szCs w:val="20"/>
        </w:rPr>
        <w:t xml:space="preserve">Tabla 12. Resumen de riesgos sobre la oferta hídrica — Granja Avícola Jamaica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Riesgo</w:t>
            </w:r>
          </w:p>
        </w:tc>
        <w:tc>
          <w:tcPr>
            <w:shd w:fill="4A9D8E" w:val="clear"/>
          </w:tcPr>
          <w:p>
            <w:pPr>
              <w:spacing w:after="50" w:before="50"/>
              <w:jc w:val="center"/>
            </w:pPr>
            <w:r>
              <w:rPr>
                <w:b/>
                <w:bCs/>
                <w:color w:val="FFFFFF"/>
                <w:sz w:val="20"/>
                <w:szCs w:val="20"/>
              </w:rPr>
              <w:t xml:space="preserve">Descripción</w:t>
            </w:r>
          </w:p>
        </w:tc>
        <w:tc>
          <w:tcPr>
            <w:shd w:fill="4A9D8E" w:val="clear"/>
          </w:tcPr>
          <w:p>
            <w:pPr>
              <w:spacing w:after="50" w:before="50"/>
              <w:jc w:val="center"/>
            </w:pPr>
            <w:r>
              <w:rPr>
                <w:b/>
                <w:bCs/>
                <w:color w:val="FFFFFF"/>
                <w:sz w:val="20"/>
                <w:szCs w:val="20"/>
              </w:rPr>
              <w:t xml:space="preserve">Probabilidad</w:t>
            </w:r>
          </w:p>
        </w:tc>
        <w:tc>
          <w:tcPr>
            <w:shd w:fill="4A9D8E" w:val="clear"/>
          </w:tcPr>
          <w:p>
            <w:pPr>
              <w:spacing w:after="50" w:before="50"/>
              <w:jc w:val="center"/>
            </w:pPr>
            <w:r>
              <w:rPr>
                <w:b/>
                <w:bCs/>
                <w:color w:val="FFFFFF"/>
                <w:sz w:val="20"/>
                <w:szCs w:val="20"/>
              </w:rPr>
              <w:t xml:space="preserve">Impacto sobre oferta</w:t>
            </w:r>
          </w:p>
        </w:tc>
        <w:tc>
          <w:tcPr>
            <w:shd w:fill="4A9D8E" w:val="clear"/>
          </w:tcPr>
          <w:p>
            <w:pPr>
              <w:spacing w:after="50" w:before="50"/>
              <w:jc w:val="center"/>
            </w:pPr>
            <w:r>
              <w:rPr>
                <w:b/>
                <w:bCs/>
                <w:color w:val="FFFFFF"/>
                <w:sz w:val="20"/>
                <w:szCs w:val="20"/>
              </w:rPr>
              <w:t xml:space="preserve">Medida de manejo</w:t>
            </w:r>
          </w:p>
        </w:tc>
      </w:tr>
      <w:tr>
        <w:tc>
          <w:tcPr>
            <w:shd w:fill="F1F8F6" w:val="clear"/>
          </w:tcPr>
          <w:p>
            <w:pPr>
              <w:spacing w:after="50" w:before="50"/>
              <w:jc w:val="left"/>
            </w:pPr>
            <w:r>
              <w:rPr>
                <w:sz w:val="20"/>
                <w:szCs w:val="20"/>
              </w:rPr>
              <w:t xml:space="preserve">Déficit por El Niño</w:t>
            </w:r>
          </w:p>
        </w:tc>
        <w:tc>
          <w:tcPr>
            <w:shd w:fill="F1F8F6" w:val="clear"/>
          </w:tcPr>
          <w:p>
            <w:pPr>
              <w:spacing w:after="50" w:before="50"/>
              <w:jc w:val="left"/>
            </w:pPr>
            <w:r>
              <w:rPr>
                <w:sz w:val="20"/>
                <w:szCs w:val="20"/>
              </w:rPr>
              <w:t xml:space="preserve">Reducción de la recarga del acuífero por disminución de precipitación (20 %–40 %) en años secos</w:t>
            </w:r>
          </w:p>
        </w:tc>
        <w:tc>
          <w:tcPr>
            <w:shd w:fill="F1F8F6" w:val="clear"/>
          </w:tcPr>
          <w:p>
            <w:pPr>
              <w:spacing w:after="50" w:before="50"/>
              <w:jc w:val="left"/>
            </w:pPr>
            <w:r>
              <w:rPr>
                <w:sz w:val="20"/>
                <w:szCs w:val="20"/>
              </w:rPr>
              <w:t xml:space="preserve">Alta (ciclo recurrente 3–7 años)</w:t>
            </w:r>
          </w:p>
        </w:tc>
        <w:tc>
          <w:tcPr>
            <w:shd w:fill="F1F8F6" w:val="clear"/>
          </w:tcPr>
          <w:p>
            <w:pPr>
              <w:spacing w:after="50" w:before="50"/>
              <w:jc w:val="left"/>
            </w:pPr>
            <w:r>
              <w:rPr>
                <w:sz w:val="20"/>
                <w:szCs w:val="20"/>
              </w:rPr>
              <w:t xml:space="preserve">Alto — descenso del nivel dinámico y reducción del caudal específico del pozo</w:t>
            </w:r>
          </w:p>
        </w:tc>
        <w:tc>
          <w:tcPr>
            <w:shd w:fill="F1F8F6" w:val="clear"/>
          </w:tcPr>
          <w:p>
            <w:pPr>
              <w:spacing w:after="50" w:before="50"/>
              <w:jc w:val="left"/>
            </w:pPr>
            <w:r>
              <w:rPr>
                <w:sz w:val="20"/>
                <w:szCs w:val="20"/>
              </w:rPr>
              <w:t xml:space="preserve">Uso del reservorio de aguas lluvias y reducción de consumos no esenciales; monitoreo semestral del nivel del pozo</w:t>
            </w:r>
          </w:p>
        </w:tc>
      </w:tr>
      <w:tr>
        <w:tc>
          <w:tcPr>
            <w:shd w:fill="FFFFFF" w:val="clear"/>
          </w:tcPr>
          <w:p>
            <w:pPr>
              <w:spacing w:after="50" w:before="50"/>
              <w:jc w:val="left"/>
            </w:pPr>
            <w:r>
              <w:rPr>
                <w:sz w:val="20"/>
                <w:szCs w:val="20"/>
              </w:rPr>
              <w:t xml:space="preserve">Cambio climático (largo plazo)</w:t>
            </w:r>
          </w:p>
        </w:tc>
        <w:tc>
          <w:tcPr>
            <w:shd w:fill="FFFFFF" w:val="clear"/>
          </w:tcPr>
          <w:p>
            <w:pPr>
              <w:spacing w:after="50" w:before="50"/>
              <w:jc w:val="left"/>
            </w:pPr>
            <w:r>
              <w:rPr>
                <w:sz w:val="20"/>
                <w:szCs w:val="20"/>
              </w:rPr>
              <w:t xml:space="preserve">Reducción acumulada de precipitación anual (10 %–25 %) y aumento de temperatura (1,0 °C–2,5 °C) hacia 2050</w:t>
            </w:r>
          </w:p>
        </w:tc>
        <w:tc>
          <w:tcPr>
            <w:shd w:fill="FFFFFF" w:val="clear"/>
          </w:tcPr>
          <w:p>
            <w:pPr>
              <w:spacing w:after="50" w:before="50"/>
              <w:jc w:val="left"/>
            </w:pPr>
            <w:r>
              <w:rPr>
                <w:sz w:val="20"/>
                <w:szCs w:val="20"/>
              </w:rPr>
              <w:t xml:space="preserve">Media–Alta (escenarios RCP proyectados por IDEAM)</w:t>
            </w:r>
          </w:p>
        </w:tc>
        <w:tc>
          <w:tcPr>
            <w:shd w:fill="FFFFFF" w:val="clear"/>
          </w:tcPr>
          <w:p>
            <w:pPr>
              <w:spacing w:after="50" w:before="50"/>
              <w:jc w:val="left"/>
            </w:pPr>
            <w:r>
              <w:rPr>
                <w:sz w:val="20"/>
                <w:szCs w:val="20"/>
              </w:rPr>
              <w:t xml:space="preserve">Moderado a alto en el largo plazo — reducción sostenida de la recarga del acuífero</w:t>
            </w:r>
          </w:p>
        </w:tc>
        <w:tc>
          <w:tcPr>
            <w:shd w:fill="FFFFFF" w:val="clear"/>
          </w:tcPr>
          <w:p>
            <w:pPr>
              <w:spacing w:after="50" w:before="50"/>
              <w:jc w:val="left"/>
            </w:pPr>
            <w:r>
              <w:rPr>
                <w:sz w:val="20"/>
                <w:szCs w:val="20"/>
              </w:rPr>
              <w:t xml:space="preserve">Aforos periódicos del pozo; ajuste del plan de contingencia según tendencia de abatimiento; evaluación de fuentes alternas</w:t>
            </w:r>
          </w:p>
        </w:tc>
      </w:tr>
      <w:tr>
        <w:tc>
          <w:tcPr>
            <w:shd w:fill="F1F8F6" w:val="clear"/>
          </w:tcPr>
          <w:p>
            <w:pPr>
              <w:spacing w:after="50" w:before="50"/>
              <w:jc w:val="left"/>
            </w:pPr>
            <w:r>
              <w:rPr>
                <w:sz w:val="20"/>
                <w:szCs w:val="20"/>
              </w:rPr>
              <w:t xml:space="preserve">Interferencia entre pozos</w:t>
            </w:r>
          </w:p>
        </w:tc>
        <w:tc>
          <w:tcPr>
            <w:shd w:fill="F1F8F6" w:val="clear"/>
          </w:tcPr>
          <w:p>
            <w:pPr>
              <w:spacing w:after="50" w:before="50"/>
              <w:jc w:val="left"/>
            </w:pPr>
            <w:r>
              <w:rPr>
                <w:sz w:val="20"/>
                <w:szCs w:val="20"/>
              </w:rPr>
              <w:t xml:space="preserve">Superposición de conos de abatimiento por múltiples captaciones en la misma unidad hidrogeológica (uso avícola intensivo en Sabana de Torres)</w:t>
            </w:r>
          </w:p>
        </w:tc>
        <w:tc>
          <w:tcPr>
            <w:shd w:fill="F1F8F6" w:val="clear"/>
          </w:tcPr>
          <w:p>
            <w:pPr>
              <w:spacing w:after="50" w:before="50"/>
              <w:jc w:val="left"/>
            </w:pPr>
            <w:r>
              <w:rPr>
                <w:sz w:val="20"/>
                <w:szCs w:val="20"/>
              </w:rPr>
              <w:t xml:space="preserve">Media</w:t>
            </w:r>
          </w:p>
        </w:tc>
        <w:tc>
          <w:tcPr>
            <w:shd w:fill="F1F8F6" w:val="clear"/>
          </w:tcPr>
          <w:p>
            <w:pPr>
              <w:spacing w:after="50" w:before="50"/>
              <w:jc w:val="left"/>
            </w:pPr>
            <w:r>
              <w:rPr>
                <w:sz w:val="20"/>
                <w:szCs w:val="20"/>
              </w:rPr>
              <w:t xml:space="preserve">Moderado — reducción de la capacidad específica del pozo en el mediano plazo</w:t>
            </w:r>
          </w:p>
        </w:tc>
        <w:tc>
          <w:tcPr>
            <w:shd w:fill="F1F8F6" w:val="clear"/>
          </w:tcPr>
          <w:p>
            <w:pPr>
              <w:spacing w:after="50" w:before="50"/>
              <w:jc w:val="left"/>
            </w:pPr>
            <w:r>
              <w:rPr>
                <w:sz w:val="20"/>
                <w:szCs w:val="20"/>
              </w:rPr>
              <w:t xml:space="preserve">Monitoreo de nivel estático y dinámico; coordinación con la CAS para control del aprovechamiento colectivo del acuífero</w:t>
            </w:r>
          </w:p>
        </w:tc>
      </w:tr>
      <w:tr>
        <w:tc>
          <w:tcPr>
            <w:shd w:fill="FFFFFF" w:val="clear"/>
          </w:tcPr>
          <w:p>
            <w:pPr>
              <w:spacing w:after="50" w:before="50"/>
              <w:jc w:val="left"/>
            </w:pPr>
            <w:r>
              <w:rPr>
                <w:sz w:val="20"/>
                <w:szCs w:val="20"/>
              </w:rPr>
              <w:t xml:space="preserve">Deforestación y pérdida de recarga</w:t>
            </w:r>
          </w:p>
        </w:tc>
        <w:tc>
          <w:tcPr>
            <w:shd w:fill="FFFFFF" w:val="clear"/>
          </w:tcPr>
          <w:p>
            <w:pPr>
              <w:spacing w:after="50" w:before="50"/>
              <w:jc w:val="left"/>
            </w:pPr>
            <w:r>
              <w:rPr>
                <w:sz w:val="20"/>
                <w:szCs w:val="20"/>
              </w:rPr>
              <w:t xml:space="preserve">Avance de frontera agropecuaria reduce infiltración efectiva en zonas de recarga del acuífero</w:t>
            </w:r>
          </w:p>
        </w:tc>
        <w:tc>
          <w:tcPr>
            <w:shd w:fill="FFFFFF" w:val="clear"/>
          </w:tcPr>
          <w:p>
            <w:pPr>
              <w:spacing w:after="50" w:before="50"/>
              <w:jc w:val="left"/>
            </w:pPr>
            <w:r>
              <w:rPr>
                <w:sz w:val="20"/>
                <w:szCs w:val="20"/>
              </w:rPr>
              <w:t xml:space="preserve">Media</w:t>
            </w:r>
          </w:p>
        </w:tc>
        <w:tc>
          <w:tcPr>
            <w:shd w:fill="FFFFFF" w:val="clear"/>
          </w:tcPr>
          <w:p>
            <w:pPr>
              <w:spacing w:after="50" w:before="50"/>
              <w:jc w:val="left"/>
            </w:pPr>
            <w:r>
              <w:rPr>
                <w:sz w:val="20"/>
                <w:szCs w:val="20"/>
              </w:rPr>
              <w:t xml:space="preserve">Moderado — reducción gradual del potencial de recarga del acuífero regional</w:t>
            </w:r>
          </w:p>
        </w:tc>
        <w:tc>
          <w:tcPr>
            <w:shd w:fill="FFFFFF" w:val="clear"/>
          </w:tcPr>
          <w:p>
            <w:pPr>
              <w:spacing w:after="50" w:before="50"/>
              <w:jc w:val="left"/>
            </w:pPr>
            <w:r>
              <w:rPr>
                <w:sz w:val="20"/>
                <w:szCs w:val="20"/>
              </w:rPr>
              <w:t xml:space="preserve">Mantenimiento de coberturas vegetales en el área de influencia del predio; apoyo a programas de restauración promovidos por la CAS</w:t>
            </w:r>
          </w:p>
        </w:tc>
      </w:tr>
      <w:tr>
        <w:tc>
          <w:tcPr>
            <w:shd w:fill="F1F8F6" w:val="clear"/>
          </w:tcPr>
          <w:p>
            <w:pPr>
              <w:spacing w:after="50" w:before="50"/>
              <w:jc w:val="left"/>
            </w:pPr>
            <w:r>
              <w:rPr>
                <w:sz w:val="20"/>
                <w:szCs w:val="20"/>
              </w:rPr>
              <w:t xml:space="preserve">Contaminación difusa del acuífero</w:t>
            </w:r>
          </w:p>
        </w:tc>
        <w:tc>
          <w:tcPr>
            <w:shd w:fill="F1F8F6" w:val="clear"/>
          </w:tcPr>
          <w:p>
            <w:pPr>
              <w:spacing w:after="50" w:before="50"/>
              <w:jc w:val="left"/>
            </w:pPr>
            <w:r>
              <w:rPr>
                <w:sz w:val="20"/>
                <w:szCs w:val="20"/>
              </w:rPr>
              <w:t xml:space="preserve">Aplicación de agroquímicos en predios adyacentes con potencial de lixiviación hacia la zona saturada del acuífero</w:t>
            </w:r>
          </w:p>
        </w:tc>
        <w:tc>
          <w:tcPr>
            <w:shd w:fill="F1F8F6" w:val="clear"/>
          </w:tcPr>
          <w:p>
            <w:pPr>
              <w:spacing w:after="50" w:before="50"/>
              <w:jc w:val="left"/>
            </w:pPr>
            <w:r>
              <w:rPr>
                <w:sz w:val="20"/>
                <w:szCs w:val="20"/>
              </w:rPr>
              <w:t xml:space="preserve">Media–Baja</w:t>
            </w:r>
          </w:p>
        </w:tc>
        <w:tc>
          <w:tcPr>
            <w:shd w:fill="F1F8F6" w:val="clear"/>
          </w:tcPr>
          <w:p>
            <w:pPr>
              <w:spacing w:after="50" w:before="50"/>
              <w:jc w:val="left"/>
            </w:pPr>
            <w:r>
              <w:rPr>
                <w:sz w:val="20"/>
                <w:szCs w:val="20"/>
              </w:rPr>
              <w:t xml:space="preserve">Alto si ocurre — deterioro de la calidad del agua captada y restricción del uso</w:t>
            </w:r>
          </w:p>
        </w:tc>
        <w:tc>
          <w:tcPr>
            <w:shd w:fill="F1F8F6" w:val="clear"/>
          </w:tcPr>
          <w:p>
            <w:pPr>
              <w:spacing w:after="50" w:before="50"/>
              <w:jc w:val="left"/>
            </w:pPr>
            <w:r>
              <w:rPr>
                <w:sz w:val="20"/>
                <w:szCs w:val="20"/>
              </w:rPr>
              <w:t xml:space="preserve">Análisis fisicoquímico y microbiológico semestral del agua del pozo; verificación del sello sanitario; gestión con autoridad ambiental ante contaminación detectada</w:t>
            </w:r>
          </w:p>
        </w:tc>
      </w:tr>
      <w:tr>
        <w:tc>
          <w:tcPr>
            <w:shd w:fill="FFFFFF" w:val="clear"/>
          </w:tcPr>
          <w:p>
            <w:pPr>
              <w:spacing w:after="50" w:before="50"/>
              <w:jc w:val="left"/>
            </w:pPr>
            <w:r>
              <w:rPr>
                <w:sz w:val="20"/>
                <w:szCs w:val="20"/>
              </w:rPr>
              <w:t xml:space="preserve">Colmatación del pozo</w:t>
            </w:r>
          </w:p>
        </w:tc>
        <w:tc>
          <w:tcPr>
            <w:shd w:fill="FFFFFF" w:val="clear"/>
          </w:tcPr>
          <w:p>
            <w:pPr>
              <w:spacing w:after="50" w:before="50"/>
              <w:jc w:val="left"/>
            </w:pPr>
            <w:r>
              <w:rPr>
                <w:sz w:val="20"/>
                <w:szCs w:val="20"/>
              </w:rPr>
              <w:t xml:space="preserve">Reducción del caudal de extracción por incrustaciones en rejilla y material filtrante del pozo profundo</w:t>
            </w:r>
          </w:p>
        </w:tc>
        <w:tc>
          <w:tcPr>
            <w:shd w:fill="FFFFFF" w:val="clear"/>
          </w:tcPr>
          <w:p>
            <w:pPr>
              <w:spacing w:after="50" w:before="50"/>
              <w:jc w:val="left"/>
            </w:pPr>
            <w:r>
              <w:rPr>
                <w:sz w:val="20"/>
                <w:szCs w:val="20"/>
              </w:rPr>
              <w:t xml:space="preserve">Baja–Media</w:t>
            </w:r>
          </w:p>
        </w:tc>
        <w:tc>
          <w:tcPr>
            <w:shd w:fill="FFFFFF" w:val="clear"/>
          </w:tcPr>
          <w:p>
            <w:pPr>
              <w:spacing w:after="50" w:before="50"/>
              <w:jc w:val="left"/>
            </w:pPr>
            <w:r>
              <w:rPr>
                <w:sz w:val="20"/>
                <w:szCs w:val="20"/>
              </w:rPr>
              <w:t xml:space="preserve">Moderado — reducción progresiva de la eficiencia del pozo</w:t>
            </w:r>
          </w:p>
        </w:tc>
        <w:tc>
          <w:tcPr>
            <w:shd w:fill="FFFFFF" w:val="clear"/>
          </w:tcPr>
          <w:p>
            <w:pPr>
              <w:spacing w:after="50" w:before="50"/>
              <w:jc w:val="left"/>
            </w:pPr>
            <w:r>
              <w:rPr>
                <w:sz w:val="20"/>
                <w:szCs w:val="20"/>
              </w:rPr>
              <w:t xml:space="preserve">Inspección y mantenimiento preventivo anual del pozo; rehabilitación hidráulica de ser necesario</w:t>
            </w:r>
          </w:p>
        </w:tc>
      </w:tr>
      <w:tr>
        <w:tc>
          <w:tcPr>
            <w:shd w:fill="F1F8F6" w:val="clear"/>
          </w:tcPr>
          <w:p>
            <w:pPr>
              <w:spacing w:after="50" w:before="50"/>
              <w:jc w:val="left"/>
            </w:pPr>
            <w:r>
              <w:rPr>
                <w:sz w:val="20"/>
                <w:szCs w:val="20"/>
              </w:rPr>
              <w:t xml:space="preserve">Inundaciones (La Niña)</w:t>
            </w:r>
          </w:p>
        </w:tc>
        <w:tc>
          <w:tcPr>
            <w:shd w:fill="F1F8F6" w:val="clear"/>
          </w:tcPr>
          <w:p>
            <w:pPr>
              <w:spacing w:after="50" w:before="50"/>
              <w:jc w:val="left"/>
            </w:pPr>
            <w:r>
              <w:rPr>
                <w:sz w:val="20"/>
                <w:szCs w:val="20"/>
              </w:rPr>
              <w:t xml:space="preserve">Incremento de precipitación y potencial de inundación en llanura aluvial; riesgo de contaminación de zona de recarga</w:t>
            </w:r>
          </w:p>
        </w:tc>
        <w:tc>
          <w:tcPr>
            <w:shd w:fill="F1F8F6" w:val="clear"/>
          </w:tcPr>
          <w:p>
            <w:pPr>
              <w:spacing w:after="50" w:before="50"/>
              <w:jc w:val="left"/>
            </w:pPr>
            <w:r>
              <w:rPr>
                <w:sz w:val="20"/>
                <w:szCs w:val="20"/>
              </w:rPr>
              <w:t xml:space="preserve">Media (llanura aluvial del Sogamoso)</w:t>
            </w:r>
          </w:p>
        </w:tc>
        <w:tc>
          <w:tcPr>
            <w:shd w:fill="F1F8F6" w:val="clear"/>
          </w:tcPr>
          <w:p>
            <w:pPr>
              <w:spacing w:after="50" w:before="50"/>
              <w:jc w:val="left"/>
            </w:pPr>
            <w:r>
              <w:rPr>
                <w:sz w:val="20"/>
                <w:szCs w:val="20"/>
              </w:rPr>
              <w:t xml:space="preserve">Bajo a moderado — afectación de calidad del agua y acceso al pozo</w:t>
            </w:r>
          </w:p>
        </w:tc>
        <w:tc>
          <w:tcPr>
            <w:shd w:fill="F1F8F6" w:val="clear"/>
          </w:tcPr>
          <w:p>
            <w:pPr>
              <w:spacing w:after="50" w:before="50"/>
              <w:jc w:val="left"/>
            </w:pPr>
            <w:r>
              <w:rPr>
                <w:sz w:val="20"/>
                <w:szCs w:val="20"/>
              </w:rPr>
              <w:t xml:space="preserve">Protección física del área del pozo; análisis de calidad del agua tras eventos de inundación; uso temporal del agua almacenada en tanques (300 m³ totales)</w:t>
            </w:r>
          </w:p>
        </w:tc>
      </w:tr>
    </w:tbl>
    <w:p>
      <w:pPr>
        <w:spacing w:after="180" w:before="60"/>
        <w:jc w:val="left"/>
      </w:pPr>
      <w:r>
        <w:rPr>
          <w:i/>
          <w:iCs/>
          <w:color w:val="777777"/>
          <w:sz w:val="16"/>
          <w:szCs w:val="16"/>
        </w:rPr>
        <w:t xml:space="preserve">Fuente. Elaboración propia con base en datos del levantamiento de campo, información regional publicada por el IDEAM para el Magdalena Medio–Sogamoso y desglose de usos del recurso hídrico del expediente de concesión.</w:t>
      </w:r>
    </w:p>
    <w:p>
      <w:r>
        <w:br w:type="page"/>
      </w:r>
    </w:p>
    <w:p>
      <w:pPr>
        <w:pStyle w:val="Heading1"/>
        <w:spacing w:after="200" w:before="360"/>
      </w:pPr>
      <w:r>
        <w:rPr>
          <w:b/>
          <w:bCs/>
          <w:color w:val="1F2937"/>
          <w:sz w:val="28"/>
          <w:szCs w:val="28"/>
        </w:rPr>
        <w:t xml:space="preserve">10. LÍNEA BASE — DEMANDA HÍDRICA Y BALANCE</w:t>
      </w:r>
    </w:p>
    <w:p>
      <w:pPr>
        <w:pStyle w:val="Heading2"/>
        <w:spacing w:after="140" w:before="240"/>
      </w:pPr>
      <w:r>
        <w:rPr>
          <w:b/>
          <w:bCs/>
          <w:color w:val="4A9D8E"/>
          <w:sz w:val="24"/>
          <w:szCs w:val="24"/>
        </w:rPr>
        <w:t xml:space="preserve">10.1. Demanda hídrica por proceso</w:t>
      </w:r>
    </w:p>
    <w:p>
      <w:pPr>
        <w:spacing w:after="160" w:line="320"/>
        <w:jc w:val="both"/>
      </w:pPr>
      <w:r>
        <w:rPr>
          <w:sz w:val="22"/>
          <w:szCs w:val="22"/>
        </w:rPr>
        <w:t xml:space="preserve">La demanda hídrica de la Granja Avícola Jamaica se estructura en cuatro componentes de uso, calculados a partir de los módulos de consumo adoptados por la CAS para la expedición de concesiones de aguas. Los usos reconocidos son: (i) pecuario-avicultura, (ii) consumo humano doméstico, (iii) túnel de desinfección y (iv) arco de desinfección vehicular. El caudal total resultante es de 4,219 L/s, expresado como caudal continuo equivalente que integra la operación simultánea de todos los usos durante las horas de funcionamiento del sistema de captación. A continuación se presenta el procedimiento de cálculo para cada componente.</w:t>
      </w:r>
    </w:p>
    <w:p>
      <w:pPr>
        <w:pStyle w:val="Heading3"/>
        <w:spacing w:after="120" w:before="200"/>
      </w:pPr>
      <w:r>
        <w:rPr>
          <w:b/>
          <w:bCs/>
          <w:color w:val="4A9D8E"/>
          <w:sz w:val="22"/>
          <w:szCs w:val="22"/>
        </w:rPr>
        <w:t xml:space="preserve">10.1.1. Uso pecuario — avicultura</w:t>
      </w:r>
    </w:p>
    <w:p>
      <w:pPr>
        <w:spacing w:after="160" w:line="320"/>
        <w:jc w:val="both"/>
      </w:pPr>
      <w:r>
        <w:rPr>
          <w:sz w:val="22"/>
          <w:szCs w:val="22"/>
        </w:rPr>
        <w:t xml:space="preserve">El módulo de consumo pecuario para avicultura adoptado por la CAS es de 0,000004 L/s por ave. El proyecto opera con una capacidad total de 1.016.000 aves, distribuidas en el Núcleo 1 (6 galpones × 62.000 aves = 372.000 aves) y el Núcleo 2 (2 galpones operativos × 92.000 aves = 184.000 aves, más 5 galpones en construcción con capacidad de 460.000 aves adicionales que se incorporan en la proyección a 5 años). El cálculo del caudal pecuario para la capacidad instalada total declarada es el siguiente:</w:t>
      </w:r>
    </w:p>
    <w:p>
      <w:pPr>
        <w:pStyle w:val="ListParagraph"/>
        <w:numPr>
          <w:ilvl w:val="0"/>
          <w:numId w:val="3"/>
        </w:numPr>
        <w:spacing w:after="100" w:line="300"/>
        <w:jc w:val="both"/>
      </w:pPr>
      <w:r>
        <w:rPr>
          <w:sz w:val="22"/>
          <w:szCs w:val="22"/>
        </w:rPr>
        <w:t xml:space="preserve">Capacidad total declarada: 1.016.000 aves</w:t>
      </w:r>
    </w:p>
    <w:p>
      <w:pPr>
        <w:pStyle w:val="ListParagraph"/>
        <w:numPr>
          <w:ilvl w:val="0"/>
          <w:numId w:val="3"/>
        </w:numPr>
        <w:spacing w:after="100" w:line="300"/>
        <w:jc w:val="both"/>
      </w:pPr>
      <w:r>
        <w:rPr>
          <w:sz w:val="22"/>
          <w:szCs w:val="22"/>
        </w:rPr>
        <w:t xml:space="preserve">Módulo CAS: 0,000004 L/s × ave</w:t>
      </w:r>
    </w:p>
    <w:p>
      <w:pPr>
        <w:pStyle w:val="ListParagraph"/>
        <w:numPr>
          <w:ilvl w:val="0"/>
          <w:numId w:val="3"/>
        </w:numPr>
        <w:spacing w:after="100" w:line="300"/>
        <w:jc w:val="both"/>
      </w:pPr>
      <w:r>
        <w:rPr>
          <w:sz w:val="22"/>
          <w:szCs w:val="22"/>
        </w:rPr>
        <w:t xml:space="preserve">Caudal pecuario = 1.016.000 × 0,000004 = 4,064 L/s</w:t>
      </w:r>
    </w:p>
    <w:p>
      <w:pPr>
        <w:pStyle w:val="ListParagraph"/>
        <w:numPr>
          <w:ilvl w:val="0"/>
          <w:numId w:val="3"/>
        </w:numPr>
        <w:spacing w:after="100" w:line="300"/>
        <w:jc w:val="both"/>
      </w:pPr>
      <w:r>
        <w:rPr>
          <w:sz w:val="22"/>
          <w:szCs w:val="22"/>
        </w:rPr>
        <w:t xml:space="preserve">Consumo diario equivalente = 4,064 L/s × 86.400 s/día = 351.129,6 L/día ≈ 351,1 m³/día</w:t>
      </w:r>
    </w:p>
    <w:p>
      <w:pPr>
        <w:pStyle w:val="ListParagraph"/>
        <w:numPr>
          <w:ilvl w:val="0"/>
          <w:numId w:val="3"/>
        </w:numPr>
        <w:spacing w:after="100" w:line="300"/>
        <w:jc w:val="both"/>
      </w:pPr>
      <w:r>
        <w:rPr>
          <w:sz w:val="22"/>
          <w:szCs w:val="22"/>
        </w:rPr>
        <w:t xml:space="preserve">Consumo mensual = 351,1 m³/día × 30 días = 10.533,0 m³/mes</w:t>
      </w:r>
    </w:p>
    <w:p>
      <w:pPr>
        <w:pStyle w:val="ListParagraph"/>
        <w:numPr>
          <w:ilvl w:val="0"/>
          <w:numId w:val="3"/>
        </w:numPr>
        <w:spacing w:after="100" w:line="300"/>
        <w:jc w:val="both"/>
      </w:pPr>
      <w:r>
        <w:rPr>
          <w:sz w:val="22"/>
          <w:szCs w:val="22"/>
        </w:rPr>
        <w:t xml:space="preserve">Consumo anual = 351,1 m³/día × 365 días = 128.151,5 m³/año</w:t>
      </w:r>
    </w:p>
    <w:p>
      <w:pPr>
        <w:pStyle w:val="Heading3"/>
        <w:spacing w:after="120" w:before="200"/>
      </w:pPr>
      <w:r>
        <w:rPr>
          <w:b/>
          <w:bCs/>
          <w:color w:val="4A9D8E"/>
          <w:sz w:val="22"/>
          <w:szCs w:val="22"/>
        </w:rPr>
        <w:t xml:space="preserve">10.1.2. Uso doméstico — consumo humano</w:t>
      </w:r>
    </w:p>
    <w:p>
      <w:pPr>
        <w:spacing w:after="160" w:line="320"/>
        <w:jc w:val="both"/>
      </w:pPr>
      <w:r>
        <w:rPr>
          <w:sz w:val="22"/>
          <w:szCs w:val="22"/>
        </w:rPr>
        <w:t xml:space="preserve">El personal permanente y transitorio vinculado a las operaciones de la granja totaliza 34 personas. La CAS aplica un módulo de 0,002 L/s por persona para uso doméstico en predios rurales no conectados a acueducto municipal. El cálculo es el siguiente:</w:t>
      </w:r>
    </w:p>
    <w:p>
      <w:pPr>
        <w:pStyle w:val="ListParagraph"/>
        <w:numPr>
          <w:ilvl w:val="0"/>
          <w:numId w:val="4"/>
        </w:numPr>
        <w:spacing w:after="100" w:line="300"/>
        <w:jc w:val="both"/>
      </w:pPr>
      <w:r>
        <w:rPr>
          <w:sz w:val="22"/>
          <w:szCs w:val="22"/>
        </w:rPr>
        <w:t xml:space="preserve">Número de personas: 34</w:t>
      </w:r>
    </w:p>
    <w:p>
      <w:pPr>
        <w:pStyle w:val="ListParagraph"/>
        <w:numPr>
          <w:ilvl w:val="0"/>
          <w:numId w:val="4"/>
        </w:numPr>
        <w:spacing w:after="100" w:line="300"/>
        <w:jc w:val="both"/>
      </w:pPr>
      <w:r>
        <w:rPr>
          <w:sz w:val="22"/>
          <w:szCs w:val="22"/>
        </w:rPr>
        <w:t xml:space="preserve">Módulo CAS: 0,002 L/s × persona</w:t>
      </w:r>
    </w:p>
    <w:p>
      <w:pPr>
        <w:pStyle w:val="ListParagraph"/>
        <w:numPr>
          <w:ilvl w:val="0"/>
          <w:numId w:val="4"/>
        </w:numPr>
        <w:spacing w:after="100" w:line="300"/>
        <w:jc w:val="both"/>
      </w:pPr>
      <w:r>
        <w:rPr>
          <w:sz w:val="22"/>
          <w:szCs w:val="22"/>
        </w:rPr>
        <w:t xml:space="preserve">Caudal doméstico = 34 × 0,002 = 0,068 L/s</w:t>
      </w:r>
    </w:p>
    <w:p>
      <w:pPr>
        <w:pStyle w:val="ListParagraph"/>
        <w:numPr>
          <w:ilvl w:val="0"/>
          <w:numId w:val="4"/>
        </w:numPr>
        <w:spacing w:after="100" w:line="300"/>
        <w:jc w:val="both"/>
      </w:pPr>
      <w:r>
        <w:rPr>
          <w:sz w:val="22"/>
          <w:szCs w:val="22"/>
        </w:rPr>
        <w:t xml:space="preserve">Consumo diario = 0,068 L/s × 86.400 s/día = 5.875,2 L/día ≈ 5,9 m³/día</w:t>
      </w:r>
    </w:p>
    <w:p>
      <w:pPr>
        <w:pStyle w:val="ListParagraph"/>
        <w:numPr>
          <w:ilvl w:val="0"/>
          <w:numId w:val="4"/>
        </w:numPr>
        <w:spacing w:after="100" w:line="300"/>
        <w:jc w:val="both"/>
      </w:pPr>
      <w:r>
        <w:rPr>
          <w:sz w:val="22"/>
          <w:szCs w:val="22"/>
        </w:rPr>
        <w:t xml:space="preserve">Consumo mensual = 5,9 × 30 = 177,0 m³/mes</w:t>
      </w:r>
    </w:p>
    <w:p>
      <w:pPr>
        <w:pStyle w:val="ListParagraph"/>
        <w:numPr>
          <w:ilvl w:val="0"/>
          <w:numId w:val="4"/>
        </w:numPr>
        <w:spacing w:after="100" w:line="300"/>
        <w:jc w:val="both"/>
      </w:pPr>
      <w:r>
        <w:rPr>
          <w:sz w:val="22"/>
          <w:szCs w:val="22"/>
        </w:rPr>
        <w:t xml:space="preserve">Consumo anual = 5,9 × 365 = 2.153,9 m³/año</w:t>
      </w:r>
    </w:p>
    <w:p>
      <w:pPr>
        <w:pStyle w:val="Heading3"/>
        <w:spacing w:after="120" w:before="200"/>
      </w:pPr>
      <w:r>
        <w:rPr>
          <w:b/>
          <w:bCs/>
          <w:color w:val="4A9D8E"/>
          <w:sz w:val="22"/>
          <w:szCs w:val="22"/>
        </w:rPr>
        <w:t xml:space="preserve">10.1.3. Otros usos — túnel de desinfección de personal</w:t>
      </w:r>
    </w:p>
    <w:p>
      <w:pPr>
        <w:spacing w:after="160" w:line="320"/>
        <w:jc w:val="both"/>
      </w:pPr>
      <w:r>
        <w:rPr>
          <w:sz w:val="22"/>
          <w:szCs w:val="22"/>
        </w:rPr>
        <w:t xml:space="preserve">El protocolo sanitario de la granja exige el paso de todo el personal por el túnel de desinfección al ingreso y salida de cada núcleo productivo. El volumen unitario de consumo es de 150 L por persona por evento, aplicable a las 34 personas entre permanentes y transitorias. Asumiendo un ciclo diario de ingreso y salida, el consumo diario es de 300 L/persona × 34 personas = 10.200 L/día. El caudal continuo equivalente reportado al expediente es de 0,059 L/s, coherente con la operación discontinua del sistema. El cálculo de consistencia es el siguiente:</w:t>
      </w:r>
    </w:p>
    <w:p>
      <w:pPr>
        <w:pStyle w:val="ListParagraph"/>
        <w:numPr>
          <w:ilvl w:val="0"/>
          <w:numId w:val="5"/>
        </w:numPr>
        <w:spacing w:after="100" w:line="300"/>
        <w:jc w:val="both"/>
      </w:pPr>
      <w:r>
        <w:rPr>
          <w:sz w:val="22"/>
          <w:szCs w:val="22"/>
        </w:rPr>
        <w:t xml:space="preserve">Volumen diario = 150 L/persona × 34 personas × 2 eventos/día = 10.200 L/día</w:t>
      </w:r>
    </w:p>
    <w:p>
      <w:pPr>
        <w:pStyle w:val="ListParagraph"/>
        <w:numPr>
          <w:ilvl w:val="0"/>
          <w:numId w:val="5"/>
        </w:numPr>
        <w:spacing w:after="100" w:line="300"/>
        <w:jc w:val="both"/>
      </w:pPr>
      <w:r>
        <w:rPr>
          <w:sz w:val="22"/>
          <w:szCs w:val="22"/>
        </w:rPr>
        <w:t xml:space="preserve">Caudal continuo equivalente = 10.200 L/día ÷ 86.400 s/día = 0,118 L/s (bruto)</w:t>
      </w:r>
    </w:p>
    <w:p>
      <w:pPr>
        <w:pStyle w:val="ListParagraph"/>
        <w:numPr>
          <w:ilvl w:val="0"/>
          <w:numId w:val="5"/>
        </w:numPr>
        <w:spacing w:after="100" w:line="300"/>
        <w:jc w:val="both"/>
      </w:pPr>
      <w:r>
        <w:rPr>
          <w:sz w:val="22"/>
          <w:szCs w:val="22"/>
        </w:rPr>
        <w:t xml:space="preserve">Caudal asignado en expediente: 0,059 L/s (corresponde a una jornada de ingreso por día)</w:t>
      </w:r>
    </w:p>
    <w:p>
      <w:pPr>
        <w:pStyle w:val="ListParagraph"/>
        <w:numPr>
          <w:ilvl w:val="0"/>
          <w:numId w:val="5"/>
        </w:numPr>
        <w:spacing w:after="100" w:line="300"/>
        <w:jc w:val="both"/>
      </w:pPr>
      <w:r>
        <w:rPr>
          <w:sz w:val="22"/>
          <w:szCs w:val="22"/>
        </w:rPr>
        <w:t xml:space="preserve">Consumo mensual = 10.200 L/día × 30 días = 306.000 L/mes = 306,0 m³/mes</w:t>
      </w:r>
    </w:p>
    <w:p>
      <w:pPr>
        <w:pStyle w:val="ListParagraph"/>
        <w:numPr>
          <w:ilvl w:val="0"/>
          <w:numId w:val="5"/>
        </w:numPr>
        <w:spacing w:after="100" w:line="300"/>
        <w:jc w:val="both"/>
      </w:pPr>
      <w:r>
        <w:rPr>
          <w:sz w:val="22"/>
          <w:szCs w:val="22"/>
        </w:rPr>
        <w:t xml:space="preserve">Consumo anual = 10.200 × 365 = 3.723.000 L/año = 3.723,0 m³/año</w:t>
      </w:r>
    </w:p>
    <w:p>
      <w:pPr>
        <w:pStyle w:val="Heading3"/>
        <w:spacing w:after="120" w:before="200"/>
      </w:pPr>
      <w:r>
        <w:rPr>
          <w:b/>
          <w:bCs/>
          <w:color w:val="4A9D8E"/>
          <w:sz w:val="22"/>
          <w:szCs w:val="22"/>
        </w:rPr>
        <w:t xml:space="preserve">10.1.4. Otros usos — arco de desinfección vehicular</w:t>
      </w:r>
    </w:p>
    <w:p>
      <w:pPr>
        <w:spacing w:after="160" w:line="320"/>
        <w:jc w:val="both"/>
      </w:pPr>
      <w:r>
        <w:rPr>
          <w:sz w:val="22"/>
          <w:szCs w:val="22"/>
        </w:rPr>
        <w:t xml:space="preserve">El arco de desinfección vehicular consume 350 L por vehículo que ingresa al predio. El flujo promedio registrado es de 9 vehículos diarios. El caudal continuo equivalente calculado y registrado en el expediente es de 0,028 L/s. El procedimiento de verificación es el siguiente:</w:t>
      </w:r>
    </w:p>
    <w:p>
      <w:pPr>
        <w:pStyle w:val="ListParagraph"/>
        <w:numPr>
          <w:ilvl w:val="0"/>
          <w:numId w:val="6"/>
        </w:numPr>
        <w:spacing w:after="100" w:line="300"/>
        <w:jc w:val="both"/>
      </w:pPr>
      <w:r>
        <w:rPr>
          <w:sz w:val="22"/>
          <w:szCs w:val="22"/>
        </w:rPr>
        <w:t xml:space="preserve">Volumen diario = 350 L/vehículo × 9 vehículos/día = 3.150 L/día</w:t>
      </w:r>
    </w:p>
    <w:p>
      <w:pPr>
        <w:pStyle w:val="ListParagraph"/>
        <w:numPr>
          <w:ilvl w:val="0"/>
          <w:numId w:val="6"/>
        </w:numPr>
        <w:spacing w:after="100" w:line="300"/>
        <w:jc w:val="both"/>
      </w:pPr>
      <w:r>
        <w:rPr>
          <w:sz w:val="22"/>
          <w:szCs w:val="22"/>
        </w:rPr>
        <w:t xml:space="preserve">Caudal continuo equivalente = 3.150 ÷ 86.400 = 0,036 L/s (bruto)</w:t>
      </w:r>
    </w:p>
    <w:p>
      <w:pPr>
        <w:pStyle w:val="ListParagraph"/>
        <w:numPr>
          <w:ilvl w:val="0"/>
          <w:numId w:val="6"/>
        </w:numPr>
        <w:spacing w:after="100" w:line="300"/>
        <w:jc w:val="both"/>
      </w:pPr>
      <w:r>
        <w:rPr>
          <w:sz w:val="22"/>
          <w:szCs w:val="22"/>
        </w:rPr>
        <w:t xml:space="preserve">Caudal asignado en expediente: 0,028 L/s</w:t>
      </w:r>
    </w:p>
    <w:p>
      <w:pPr>
        <w:pStyle w:val="ListParagraph"/>
        <w:numPr>
          <w:ilvl w:val="0"/>
          <w:numId w:val="6"/>
        </w:numPr>
        <w:spacing w:after="100" w:line="300"/>
        <w:jc w:val="both"/>
      </w:pPr>
      <w:r>
        <w:rPr>
          <w:sz w:val="22"/>
          <w:szCs w:val="22"/>
        </w:rPr>
        <w:t xml:space="preserve">Consumo mensual = 3.150 × 30 = 94.500 L/mes = 94,5 m³/mes</w:t>
      </w:r>
    </w:p>
    <w:p>
      <w:pPr>
        <w:pStyle w:val="ListParagraph"/>
        <w:numPr>
          <w:ilvl w:val="0"/>
          <w:numId w:val="6"/>
        </w:numPr>
        <w:spacing w:after="100" w:line="300"/>
        <w:jc w:val="both"/>
      </w:pPr>
      <w:r>
        <w:rPr>
          <w:sz w:val="22"/>
          <w:szCs w:val="22"/>
        </w:rPr>
        <w:t xml:space="preserve">Consumo anual = 3.150 × 365 = 1.149.750 L/año = 1.149,8 m³/año</w:t>
      </w:r>
    </w:p>
    <w:p>
      <w:pPr>
        <w:pStyle w:val="Heading2"/>
        <w:spacing w:after="140" w:before="240"/>
      </w:pPr>
      <w:r>
        <w:rPr>
          <w:b/>
          <w:bCs/>
          <w:color w:val="4A9D8E"/>
          <w:sz w:val="24"/>
          <w:szCs w:val="24"/>
        </w:rPr>
        <w:t xml:space="preserve">10.2. Consolidado de demanda hídrica</w:t>
      </w:r>
    </w:p>
    <w:p>
      <w:pPr>
        <w:spacing w:after="160" w:line="320"/>
        <w:jc w:val="both"/>
      </w:pPr>
      <w:r>
        <w:rPr>
          <w:sz w:val="22"/>
          <w:szCs w:val="22"/>
        </w:rPr>
        <w:t xml:space="preserve">La tabla siguiente consolida los cuatro componentes de demanda, expresando el caudal en L/s y los volúmenes de consumo en m³ para las unidades temporales de referencia utilizadas en la evaluación de la concesión. El caudal total a solicitar ante la CAS es de 4,219 L/s, que corresponde a la sumatoria aritmética de los cuatro componentes sin aplicación de factor de simultaneidad, dado que los usos doméstico, de túnel y de arco de desinfección operan de forma relativamente independiente al uso pecuario continuo.</w:t>
      </w:r>
    </w:p>
    <w:p>
      <w:pPr>
        <w:spacing w:after="90" w:before="220"/>
        <w:jc w:val="center"/>
      </w:pPr>
      <w:r>
        <w:rPr>
          <w:b/>
          <w:bCs/>
          <w:sz w:val="20"/>
          <w:szCs w:val="20"/>
        </w:rPr>
        <w:t xml:space="preserve">Tabla 13. Demanda hídrica consolidada por componente de uso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70"/>
        <w:gridCol w:w="1170"/>
        <w:gridCol w:w="1170"/>
        <w:gridCol w:w="1170"/>
        <w:gridCol w:w="1170"/>
        <w:gridCol w:w="1170"/>
        <w:gridCol w:w="1170"/>
        <w:gridCol w:w="1170"/>
      </w:tblGrid>
      <w:tr>
        <w:trPr>
          <w:tblHeader/>
        </w:trPr>
        <w:tc>
          <w:tcPr>
            <w:shd w:fill="4A9D8E" w:val="clear"/>
          </w:tcPr>
          <w:p>
            <w:pPr>
              <w:spacing w:after="50" w:before="50"/>
              <w:jc w:val="center"/>
            </w:pPr>
            <w:r>
              <w:rPr>
                <w:b/>
                <w:bCs/>
                <w:color w:val="FFFFFF"/>
                <w:sz w:val="20"/>
                <w:szCs w:val="20"/>
              </w:rPr>
              <w:t xml:space="preserve">Componente de uso</w:t>
            </w:r>
          </w:p>
        </w:tc>
        <w:tc>
          <w:tcPr>
            <w:shd w:fill="4A9D8E" w:val="clear"/>
          </w:tcPr>
          <w:p>
            <w:pPr>
              <w:spacing w:after="50" w:before="50"/>
              <w:jc w:val="center"/>
            </w:pPr>
            <w:r>
              <w:rPr>
                <w:b/>
                <w:bCs/>
                <w:color w:val="FFFFFF"/>
                <w:sz w:val="20"/>
                <w:szCs w:val="20"/>
              </w:rPr>
              <w:t xml:space="preserve">Unidad base</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Módulo (L/s)</w:t>
            </w:r>
          </w:p>
        </w:tc>
        <w:tc>
          <w:tcPr>
            <w:shd w:fill="4A9D8E" w:val="clear"/>
          </w:tcPr>
          <w:p>
            <w:pPr>
              <w:spacing w:after="50" w:before="50"/>
              <w:jc w:val="center"/>
            </w:pPr>
            <w:r>
              <w:rPr>
                <w:b/>
                <w:bCs/>
                <w:color w:val="FFFFFF"/>
                <w:sz w:val="20"/>
                <w:szCs w:val="20"/>
              </w:rPr>
              <w:t xml:space="preserve">Caudal (L/s)</w:t>
            </w:r>
          </w:p>
        </w:tc>
        <w:tc>
          <w:tcPr>
            <w:shd w:fill="4A9D8E" w:val="clear"/>
          </w:tcPr>
          <w:p>
            <w:pPr>
              <w:spacing w:after="50" w:before="50"/>
              <w:jc w:val="center"/>
            </w:pPr>
            <w:r>
              <w:rPr>
                <w:b/>
                <w:bCs/>
                <w:color w:val="FFFFFF"/>
                <w:sz w:val="20"/>
                <w:szCs w:val="20"/>
              </w:rPr>
              <w:t xml:space="preserve">Consumo diario (m³/día)</w:t>
            </w:r>
          </w:p>
        </w:tc>
        <w:tc>
          <w:tcPr>
            <w:shd w:fill="4A9D8E" w:val="clear"/>
          </w:tcPr>
          <w:p>
            <w:pPr>
              <w:spacing w:after="50" w:before="50"/>
              <w:jc w:val="center"/>
            </w:pPr>
            <w:r>
              <w:rPr>
                <w:b/>
                <w:bCs/>
                <w:color w:val="FFFFFF"/>
                <w:sz w:val="20"/>
                <w:szCs w:val="20"/>
              </w:rPr>
              <w:t xml:space="preserve">Consumo mensual (m³/mes)</w:t>
            </w:r>
          </w:p>
        </w:tc>
        <w:tc>
          <w:tcPr>
            <w:shd w:fill="4A9D8E" w:val="clear"/>
          </w:tcPr>
          <w:p>
            <w:pPr>
              <w:spacing w:after="50" w:before="50"/>
              <w:jc w:val="center"/>
            </w:pPr>
            <w:r>
              <w:rPr>
                <w:b/>
                <w:bCs/>
                <w:color w:val="FFFFFF"/>
                <w:sz w:val="20"/>
                <w:szCs w:val="20"/>
              </w:rPr>
              <w:t xml:space="preserve">Consumo anual (m³/año)</w:t>
            </w:r>
          </w:p>
        </w:tc>
      </w:tr>
      <w:tr>
        <w:tc>
          <w:tcPr>
            <w:shd w:fill="F1F8F6" w:val="clear"/>
          </w:tcPr>
          <w:p>
            <w:pPr>
              <w:spacing w:after="50" w:before="50"/>
              <w:jc w:val="left"/>
            </w:pPr>
            <w:r>
              <w:rPr>
                <w:sz w:val="20"/>
                <w:szCs w:val="20"/>
              </w:rPr>
              <w:t xml:space="preserve">Pecuario — avicultura</w:t>
            </w:r>
          </w:p>
        </w:tc>
        <w:tc>
          <w:tcPr>
            <w:shd w:fill="F1F8F6" w:val="clear"/>
          </w:tcPr>
          <w:p>
            <w:pPr>
              <w:spacing w:after="50" w:before="50"/>
              <w:jc w:val="left"/>
            </w:pPr>
            <w:r>
              <w:rPr>
                <w:sz w:val="20"/>
                <w:szCs w:val="20"/>
              </w:rPr>
              <w:t xml:space="preserve">Aves</w:t>
            </w:r>
          </w:p>
        </w:tc>
        <w:tc>
          <w:tcPr>
            <w:shd w:fill="F1F8F6" w:val="clear"/>
          </w:tcPr>
          <w:p>
            <w:pPr>
              <w:spacing w:after="50" w:before="50"/>
              <w:jc w:val="left"/>
            </w:pPr>
            <w:r>
              <w:rPr>
                <w:sz w:val="20"/>
                <w:szCs w:val="20"/>
              </w:rPr>
              <w:t xml:space="preserve">1.016.000</w:t>
            </w:r>
          </w:p>
        </w:tc>
        <w:tc>
          <w:tcPr>
            <w:shd w:fill="F1F8F6" w:val="clear"/>
          </w:tcPr>
          <w:p>
            <w:pPr>
              <w:spacing w:after="50" w:before="50"/>
              <w:jc w:val="left"/>
            </w:pPr>
            <w:r>
              <w:rPr>
                <w:sz w:val="20"/>
                <w:szCs w:val="20"/>
              </w:rPr>
              <w:t xml:space="preserve">0,000004</w:t>
            </w:r>
          </w:p>
        </w:tc>
        <w:tc>
          <w:tcPr>
            <w:shd w:fill="F1F8F6" w:val="clear"/>
          </w:tcPr>
          <w:p>
            <w:pPr>
              <w:spacing w:after="50" w:before="50"/>
              <w:jc w:val="left"/>
            </w:pPr>
            <w:r>
              <w:rPr>
                <w:sz w:val="20"/>
                <w:szCs w:val="20"/>
              </w:rPr>
              <w:t xml:space="preserve">4,064</w:t>
            </w:r>
          </w:p>
        </w:tc>
        <w:tc>
          <w:tcPr>
            <w:shd w:fill="F1F8F6" w:val="clear"/>
          </w:tcPr>
          <w:p>
            <w:pPr>
              <w:spacing w:after="50" w:before="50"/>
              <w:jc w:val="left"/>
            </w:pPr>
            <w:r>
              <w:rPr>
                <w:sz w:val="20"/>
                <w:szCs w:val="20"/>
              </w:rPr>
              <w:t xml:space="preserve">351,1</w:t>
            </w:r>
          </w:p>
        </w:tc>
        <w:tc>
          <w:tcPr>
            <w:shd w:fill="F1F8F6" w:val="clear"/>
          </w:tcPr>
          <w:p>
            <w:pPr>
              <w:spacing w:after="50" w:before="50"/>
              <w:jc w:val="left"/>
            </w:pPr>
            <w:r>
              <w:rPr>
                <w:sz w:val="20"/>
                <w:szCs w:val="20"/>
              </w:rPr>
              <w:t xml:space="preserve">10.533,0</w:t>
            </w:r>
          </w:p>
        </w:tc>
        <w:tc>
          <w:tcPr>
            <w:shd w:fill="F1F8F6" w:val="clear"/>
          </w:tcPr>
          <w:p>
            <w:pPr>
              <w:spacing w:after="50" w:before="50"/>
              <w:jc w:val="left"/>
            </w:pPr>
            <w:r>
              <w:rPr>
                <w:sz w:val="20"/>
                <w:szCs w:val="20"/>
              </w:rPr>
              <w:t xml:space="preserve">128.151,5</w:t>
            </w:r>
          </w:p>
        </w:tc>
      </w:tr>
      <w:tr>
        <w:tc>
          <w:tcPr>
            <w:shd w:fill="FFFFFF" w:val="clear"/>
          </w:tcPr>
          <w:p>
            <w:pPr>
              <w:spacing w:after="50" w:before="50"/>
              <w:jc w:val="left"/>
            </w:pPr>
            <w:r>
              <w:rPr>
                <w:sz w:val="20"/>
                <w:szCs w:val="20"/>
              </w:rPr>
              <w:t xml:space="preserve">Doméstico — consumo humano</w:t>
            </w:r>
          </w:p>
        </w:tc>
        <w:tc>
          <w:tcPr>
            <w:shd w:fill="FFFFFF" w:val="clear"/>
          </w:tcPr>
          <w:p>
            <w:pPr>
              <w:spacing w:after="50" w:before="50"/>
              <w:jc w:val="left"/>
            </w:pPr>
            <w:r>
              <w:rPr>
                <w:sz w:val="20"/>
                <w:szCs w:val="20"/>
              </w:rPr>
              <w:t xml:space="preserve">Personas</w:t>
            </w:r>
          </w:p>
        </w:tc>
        <w:tc>
          <w:tcPr>
            <w:shd w:fill="FFFFFF" w:val="clear"/>
          </w:tcPr>
          <w:p>
            <w:pPr>
              <w:spacing w:after="50" w:before="50"/>
              <w:jc w:val="left"/>
            </w:pPr>
            <w:r>
              <w:rPr>
                <w:sz w:val="20"/>
                <w:szCs w:val="20"/>
              </w:rPr>
              <w:t xml:space="preserve">34</w:t>
            </w:r>
          </w:p>
        </w:tc>
        <w:tc>
          <w:tcPr>
            <w:shd w:fill="FFFFFF" w:val="clear"/>
          </w:tcPr>
          <w:p>
            <w:pPr>
              <w:spacing w:after="50" w:before="50"/>
              <w:jc w:val="left"/>
            </w:pPr>
            <w:r>
              <w:rPr>
                <w:sz w:val="20"/>
                <w:szCs w:val="20"/>
              </w:rPr>
              <w:t xml:space="preserve">0,002000</w:t>
            </w:r>
          </w:p>
        </w:tc>
        <w:tc>
          <w:tcPr>
            <w:shd w:fill="FFFFFF" w:val="clear"/>
          </w:tcPr>
          <w:p>
            <w:pPr>
              <w:spacing w:after="50" w:before="50"/>
              <w:jc w:val="left"/>
            </w:pPr>
            <w:r>
              <w:rPr>
                <w:sz w:val="20"/>
                <w:szCs w:val="20"/>
              </w:rPr>
              <w:t xml:space="preserve">0,068</w:t>
            </w:r>
          </w:p>
        </w:tc>
        <w:tc>
          <w:tcPr>
            <w:shd w:fill="FFFFFF" w:val="clear"/>
          </w:tcPr>
          <w:p>
            <w:pPr>
              <w:spacing w:after="50" w:before="50"/>
              <w:jc w:val="left"/>
            </w:pPr>
            <w:r>
              <w:rPr>
                <w:sz w:val="20"/>
                <w:szCs w:val="20"/>
              </w:rPr>
              <w:t xml:space="preserve">5,9</w:t>
            </w:r>
          </w:p>
        </w:tc>
        <w:tc>
          <w:tcPr>
            <w:shd w:fill="FFFFFF" w:val="clear"/>
          </w:tcPr>
          <w:p>
            <w:pPr>
              <w:spacing w:after="50" w:before="50"/>
              <w:jc w:val="left"/>
            </w:pPr>
            <w:r>
              <w:rPr>
                <w:sz w:val="20"/>
                <w:szCs w:val="20"/>
              </w:rPr>
              <w:t xml:space="preserve">177,0</w:t>
            </w:r>
          </w:p>
        </w:tc>
        <w:tc>
          <w:tcPr>
            <w:shd w:fill="FFFFFF" w:val="clear"/>
          </w:tcPr>
          <w:p>
            <w:pPr>
              <w:spacing w:after="50" w:before="50"/>
              <w:jc w:val="left"/>
            </w:pPr>
            <w:r>
              <w:rPr>
                <w:sz w:val="20"/>
                <w:szCs w:val="20"/>
              </w:rPr>
              <w:t xml:space="preserve">2.153,9</w:t>
            </w:r>
          </w:p>
        </w:tc>
      </w:tr>
      <w:tr>
        <w:tc>
          <w:tcPr>
            <w:shd w:fill="F1F8F6" w:val="clear"/>
          </w:tcPr>
          <w:p>
            <w:pPr>
              <w:spacing w:after="50" w:before="50"/>
              <w:jc w:val="left"/>
            </w:pPr>
            <w:r>
              <w:rPr>
                <w:sz w:val="20"/>
                <w:szCs w:val="20"/>
              </w:rPr>
              <w:t xml:space="preserve">Túnel de desinfección</w:t>
            </w:r>
          </w:p>
        </w:tc>
        <w:tc>
          <w:tcPr>
            <w:shd w:fill="F1F8F6" w:val="clear"/>
          </w:tcPr>
          <w:p>
            <w:pPr>
              <w:spacing w:after="50" w:before="50"/>
              <w:jc w:val="left"/>
            </w:pPr>
            <w:r>
              <w:rPr>
                <w:sz w:val="20"/>
                <w:szCs w:val="20"/>
              </w:rPr>
              <w:t xml:space="preserve">Personas/evento</w:t>
            </w:r>
          </w:p>
        </w:tc>
        <w:tc>
          <w:tcPr>
            <w:shd w:fill="F1F8F6" w:val="clear"/>
          </w:tcPr>
          <w:p>
            <w:pPr>
              <w:spacing w:after="50" w:before="50"/>
              <w:jc w:val="left"/>
            </w:pPr>
            <w:r>
              <w:rPr>
                <w:sz w:val="20"/>
                <w:szCs w:val="20"/>
              </w:rPr>
              <w:t xml:space="preserve">34</w:t>
            </w:r>
          </w:p>
        </w:tc>
        <w:tc>
          <w:tcPr>
            <w:shd w:fill="F1F8F6" w:val="clear"/>
          </w:tcPr>
          <w:p>
            <w:pPr>
              <w:spacing w:after="50" w:before="50"/>
              <w:jc w:val="left"/>
            </w:pPr>
            <w:r>
              <w:rPr>
                <w:sz w:val="20"/>
                <w:szCs w:val="20"/>
              </w:rPr>
              <w:t xml:space="preserve">manual</w:t>
            </w:r>
          </w:p>
        </w:tc>
        <w:tc>
          <w:tcPr>
            <w:shd w:fill="F1F8F6" w:val="clear"/>
          </w:tcPr>
          <w:p>
            <w:pPr>
              <w:spacing w:after="50" w:before="50"/>
              <w:jc w:val="left"/>
            </w:pPr>
            <w:r>
              <w:rPr>
                <w:sz w:val="20"/>
                <w:szCs w:val="20"/>
              </w:rPr>
              <w:t xml:space="preserve">0,059</w:t>
            </w:r>
          </w:p>
        </w:tc>
        <w:tc>
          <w:tcPr>
            <w:shd w:fill="F1F8F6" w:val="clear"/>
          </w:tcPr>
          <w:p>
            <w:pPr>
              <w:spacing w:after="50" w:before="50"/>
              <w:jc w:val="left"/>
            </w:pPr>
            <w:r>
              <w:rPr>
                <w:sz w:val="20"/>
                <w:szCs w:val="20"/>
              </w:rPr>
              <w:t xml:space="preserve">5,1</w:t>
            </w:r>
          </w:p>
        </w:tc>
        <w:tc>
          <w:tcPr>
            <w:shd w:fill="F1F8F6" w:val="clear"/>
          </w:tcPr>
          <w:p>
            <w:pPr>
              <w:spacing w:after="50" w:before="50"/>
              <w:jc w:val="left"/>
            </w:pPr>
            <w:r>
              <w:rPr>
                <w:sz w:val="20"/>
                <w:szCs w:val="20"/>
              </w:rPr>
              <w:t xml:space="preserve">153,0</w:t>
            </w:r>
          </w:p>
        </w:tc>
        <w:tc>
          <w:tcPr>
            <w:shd w:fill="F1F8F6" w:val="clear"/>
          </w:tcPr>
          <w:p>
            <w:pPr>
              <w:spacing w:after="50" w:before="50"/>
              <w:jc w:val="left"/>
            </w:pPr>
            <w:r>
              <w:rPr>
                <w:sz w:val="20"/>
                <w:szCs w:val="20"/>
              </w:rPr>
              <w:t xml:space="preserve">1.861,5</w:t>
            </w:r>
          </w:p>
        </w:tc>
      </w:tr>
      <w:tr>
        <w:tc>
          <w:tcPr>
            <w:shd w:fill="FFFFFF" w:val="clear"/>
          </w:tcPr>
          <w:p>
            <w:pPr>
              <w:spacing w:after="50" w:before="50"/>
              <w:jc w:val="left"/>
            </w:pPr>
            <w:r>
              <w:rPr>
                <w:sz w:val="20"/>
                <w:szCs w:val="20"/>
              </w:rPr>
              <w:t xml:space="preserve">Arco de desinfección vehicular</w:t>
            </w:r>
          </w:p>
        </w:tc>
        <w:tc>
          <w:tcPr>
            <w:shd w:fill="FFFFFF" w:val="clear"/>
          </w:tcPr>
          <w:p>
            <w:pPr>
              <w:spacing w:after="50" w:before="50"/>
              <w:jc w:val="left"/>
            </w:pPr>
            <w:r>
              <w:rPr>
                <w:sz w:val="20"/>
                <w:szCs w:val="20"/>
              </w:rPr>
              <w:t xml:space="preserve">Vehículos/día</w:t>
            </w:r>
          </w:p>
        </w:tc>
        <w:tc>
          <w:tcPr>
            <w:shd w:fill="FFFFFF" w:val="clear"/>
          </w:tcPr>
          <w:p>
            <w:pPr>
              <w:spacing w:after="50" w:before="50"/>
              <w:jc w:val="left"/>
            </w:pPr>
            <w:r>
              <w:rPr>
                <w:sz w:val="20"/>
                <w:szCs w:val="20"/>
              </w:rPr>
              <w:t xml:space="preserve">9</w:t>
            </w:r>
          </w:p>
        </w:tc>
        <w:tc>
          <w:tcPr>
            <w:shd w:fill="FFFFFF" w:val="clear"/>
          </w:tcPr>
          <w:p>
            <w:pPr>
              <w:spacing w:after="50" w:before="50"/>
              <w:jc w:val="left"/>
            </w:pPr>
            <w:r>
              <w:rPr>
                <w:sz w:val="20"/>
                <w:szCs w:val="20"/>
              </w:rPr>
              <w:t xml:space="preserve">manual</w:t>
            </w:r>
          </w:p>
        </w:tc>
        <w:tc>
          <w:tcPr>
            <w:shd w:fill="FFFFFF" w:val="clear"/>
          </w:tcPr>
          <w:p>
            <w:pPr>
              <w:spacing w:after="50" w:before="50"/>
              <w:jc w:val="left"/>
            </w:pPr>
            <w:r>
              <w:rPr>
                <w:sz w:val="20"/>
                <w:szCs w:val="20"/>
              </w:rPr>
              <w:t xml:space="preserve">0,028</w:t>
            </w:r>
          </w:p>
        </w:tc>
        <w:tc>
          <w:tcPr>
            <w:shd w:fill="FFFFFF" w:val="clear"/>
          </w:tcPr>
          <w:p>
            <w:pPr>
              <w:spacing w:after="50" w:before="50"/>
              <w:jc w:val="left"/>
            </w:pPr>
            <w:r>
              <w:rPr>
                <w:sz w:val="20"/>
                <w:szCs w:val="20"/>
              </w:rPr>
              <w:t xml:space="preserve">2,4</w:t>
            </w:r>
          </w:p>
        </w:tc>
        <w:tc>
          <w:tcPr>
            <w:shd w:fill="FFFFFF" w:val="clear"/>
          </w:tcPr>
          <w:p>
            <w:pPr>
              <w:spacing w:after="50" w:before="50"/>
              <w:jc w:val="left"/>
            </w:pPr>
            <w:r>
              <w:rPr>
                <w:sz w:val="20"/>
                <w:szCs w:val="20"/>
              </w:rPr>
              <w:t xml:space="preserve">72,0</w:t>
            </w:r>
          </w:p>
        </w:tc>
        <w:tc>
          <w:tcPr>
            <w:shd w:fill="FFFFFF" w:val="clear"/>
          </w:tcPr>
          <w:p>
            <w:pPr>
              <w:spacing w:after="50" w:before="50"/>
              <w:jc w:val="left"/>
            </w:pPr>
            <w:r>
              <w:rPr>
                <w:sz w:val="20"/>
                <w:szCs w:val="20"/>
              </w:rPr>
              <w:t xml:space="preserve">876,0</w:t>
            </w:r>
          </w:p>
        </w:tc>
      </w:tr>
      <w:tr>
        <w:tc>
          <w:tcPr>
            <w:shd w:fill="F1F8F6" w:val="clear"/>
          </w:tcPr>
          <w:p>
            <w:pPr>
              <w:spacing w:after="50" w:before="50"/>
              <w:jc w:val="left"/>
            </w:pPr>
            <w:r>
              <w:rPr>
                <w:sz w:val="20"/>
                <w:szCs w:val="20"/>
              </w:rPr>
              <w:t xml:space="preserve">TOTAL</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4,219</w:t>
            </w:r>
          </w:p>
        </w:tc>
        <w:tc>
          <w:tcPr>
            <w:shd w:fill="F1F8F6" w:val="clear"/>
          </w:tcPr>
          <w:p>
            <w:pPr>
              <w:spacing w:after="50" w:before="50"/>
              <w:jc w:val="left"/>
            </w:pPr>
            <w:r>
              <w:rPr>
                <w:sz w:val="20"/>
                <w:szCs w:val="20"/>
              </w:rPr>
              <w:t xml:space="preserve">364,5</w:t>
            </w:r>
          </w:p>
        </w:tc>
        <w:tc>
          <w:tcPr>
            <w:shd w:fill="F1F8F6" w:val="clear"/>
          </w:tcPr>
          <w:p>
            <w:pPr>
              <w:spacing w:after="50" w:before="50"/>
              <w:jc w:val="left"/>
            </w:pPr>
            <w:r>
              <w:rPr>
                <w:sz w:val="20"/>
                <w:szCs w:val="20"/>
              </w:rPr>
              <w:t xml:space="preserve">10.935,0</w:t>
            </w:r>
          </w:p>
        </w:tc>
        <w:tc>
          <w:tcPr>
            <w:shd w:fill="F1F8F6" w:val="clear"/>
          </w:tcPr>
          <w:p>
            <w:pPr>
              <w:spacing w:after="50" w:before="50"/>
              <w:jc w:val="left"/>
            </w:pPr>
            <w:r>
              <w:rPr>
                <w:sz w:val="20"/>
                <w:szCs w:val="20"/>
              </w:rPr>
              <w:t xml:space="preserve">133.042,9</w:t>
            </w:r>
          </w:p>
        </w:tc>
      </w:tr>
    </w:tbl>
    <w:p>
      <w:pPr>
        <w:spacing w:after="180" w:before="60"/>
        <w:jc w:val="left"/>
      </w:pPr>
      <w:r>
        <w:rPr>
          <w:i/>
          <w:iCs/>
          <w:color w:val="777777"/>
          <w:sz w:val="16"/>
          <w:szCs w:val="16"/>
        </w:rPr>
        <w:t xml:space="preserve">Fuente. Módulos de consumo CAS; caudales manuales según desglose del expediente. Consumos diarios, mensuales y anuales calculados a partir del caudal continuo equivalente.</w:t>
      </w:r>
    </w:p>
    <w:p>
      <w:pPr>
        <w:pStyle w:val="Heading2"/>
        <w:spacing w:after="140" w:before="240"/>
      </w:pPr>
      <w:r>
        <w:rPr>
          <w:b/>
          <w:bCs/>
          <w:color w:val="4A9D8E"/>
          <w:sz w:val="24"/>
          <w:szCs w:val="24"/>
        </w:rPr>
        <w:t xml:space="preserve">10.3. Proyección de la demanda a cinco años</w:t>
      </w:r>
    </w:p>
    <w:p>
      <w:pPr>
        <w:spacing w:after="160" w:line="320"/>
        <w:jc w:val="both"/>
      </w:pPr>
      <w:r>
        <w:rPr>
          <w:sz w:val="22"/>
          <w:szCs w:val="22"/>
        </w:rPr>
        <w:t xml:space="preserve">La proyección de la demanda a cinco años considera la incorporación progresiva de los 5 galpones del Núcleo 2 que se encuentran en etapa constructiva a la fecha del levantamiento de campo. Cada uno de estos galpones tiene una capacidad declarada de 92.000 aves, lo que representaría 460.000 aves adicionales al inventario actual de 556.000 aves operativas. La capacidad total plena del proyecto es de 1.016.000 aves, cifra que ya fue adoptada como base del módulo pecuario en la solicitud. Por tanto, la demanda hídrica a caudal pleno corresponde al escenario ya calculado (4,219 L/s), y la proyección lo que modela es la trayectoria de carga desde la capacidad actual operativa hasta la capacidad total instalada.</w:t>
      </w:r>
    </w:p>
    <w:p>
      <w:pPr>
        <w:spacing w:after="160" w:line="320"/>
        <w:jc w:val="both"/>
      </w:pPr>
      <w:r>
        <w:rPr>
          <w:sz w:val="22"/>
          <w:szCs w:val="22"/>
        </w:rPr>
        <w:t xml:space="preserve">Para los componentes de uso doméstico, túnel y arco de desinfección, se mantiene constante el número de personas (34) y de vehículos diarios (9) durante el horizonte de proyección, en tanto no existe en el expediente información que indique variación de estos parámetros. La demanda pecuaria es el único componente variable en función del llenado progresivo de los galpones en construcción.</w:t>
      </w:r>
    </w:p>
    <w:p>
      <w:pPr>
        <w:spacing w:after="90" w:before="220"/>
        <w:jc w:val="center"/>
      </w:pPr>
      <w:r>
        <w:rPr>
          <w:b/>
          <w:bCs/>
          <w:sz w:val="20"/>
          <w:szCs w:val="20"/>
        </w:rPr>
        <w:t xml:space="preserve">Tabla 14. Proyección de la demanda hídrica a cinco años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shd w:fill="4A9D8E" w:val="clear"/>
          </w:tcPr>
          <w:p>
            <w:pPr>
              <w:spacing w:after="50" w:before="50"/>
              <w:jc w:val="center"/>
            </w:pPr>
            <w:r>
              <w:rPr>
                <w:b/>
                <w:bCs/>
                <w:color w:val="FFFFFF"/>
                <w:sz w:val="20"/>
                <w:szCs w:val="20"/>
              </w:rPr>
              <w:t xml:space="preserve">Año</w:t>
            </w:r>
          </w:p>
        </w:tc>
        <w:tc>
          <w:tcPr>
            <w:shd w:fill="4A9D8E" w:val="clear"/>
          </w:tcPr>
          <w:p>
            <w:pPr>
              <w:spacing w:after="50" w:before="50"/>
              <w:jc w:val="center"/>
            </w:pPr>
            <w:r>
              <w:rPr>
                <w:b/>
                <w:bCs/>
                <w:color w:val="FFFFFF"/>
                <w:sz w:val="20"/>
                <w:szCs w:val="20"/>
              </w:rPr>
              <w:t xml:space="preserve">Aves operativas</w:t>
            </w:r>
          </w:p>
        </w:tc>
        <w:tc>
          <w:tcPr>
            <w:shd w:fill="4A9D8E" w:val="clear"/>
          </w:tcPr>
          <w:p>
            <w:pPr>
              <w:spacing w:after="50" w:before="50"/>
              <w:jc w:val="center"/>
            </w:pPr>
            <w:r>
              <w:rPr>
                <w:b/>
                <w:bCs/>
                <w:color w:val="FFFFFF"/>
                <w:sz w:val="20"/>
                <w:szCs w:val="20"/>
              </w:rPr>
              <w:t xml:space="preserve">Caudal pecuario (L/s)</w:t>
            </w:r>
          </w:p>
        </w:tc>
        <w:tc>
          <w:tcPr>
            <w:shd w:fill="4A9D8E" w:val="clear"/>
          </w:tcPr>
          <w:p>
            <w:pPr>
              <w:spacing w:after="50" w:before="50"/>
              <w:jc w:val="center"/>
            </w:pPr>
            <w:r>
              <w:rPr>
                <w:b/>
                <w:bCs/>
                <w:color w:val="FFFFFF"/>
                <w:sz w:val="20"/>
                <w:szCs w:val="20"/>
              </w:rPr>
              <w:t xml:space="preserve">Caudal otros usos (L/s)</w:t>
            </w:r>
          </w:p>
        </w:tc>
        <w:tc>
          <w:tcPr>
            <w:shd w:fill="4A9D8E" w:val="clear"/>
          </w:tcPr>
          <w:p>
            <w:pPr>
              <w:spacing w:after="50" w:before="50"/>
              <w:jc w:val="center"/>
            </w:pPr>
            <w:r>
              <w:rPr>
                <w:b/>
                <w:bCs/>
                <w:color w:val="FFFFFF"/>
                <w:sz w:val="20"/>
                <w:szCs w:val="20"/>
              </w:rPr>
              <w:t xml:space="preserve">Caudal total (L/s)</w:t>
            </w:r>
          </w:p>
        </w:tc>
        <w:tc>
          <w:tcPr>
            <w:shd w:fill="4A9D8E" w:val="clear"/>
          </w:tcPr>
          <w:p>
            <w:pPr>
              <w:spacing w:after="50" w:before="50"/>
              <w:jc w:val="center"/>
            </w:pPr>
            <w:r>
              <w:rPr>
                <w:b/>
                <w:bCs/>
                <w:color w:val="FFFFFF"/>
                <w:sz w:val="20"/>
                <w:szCs w:val="20"/>
              </w:rPr>
              <w:t xml:space="preserve">Consumo anual (m³/año)</w:t>
            </w:r>
          </w:p>
        </w:tc>
      </w:tr>
      <w:tr>
        <w:tc>
          <w:tcPr>
            <w:shd w:fill="F1F8F6" w:val="clear"/>
          </w:tcPr>
          <w:p>
            <w:pPr>
              <w:spacing w:after="50" w:before="50"/>
              <w:jc w:val="left"/>
            </w:pPr>
            <w:r>
              <w:rPr>
                <w:sz w:val="20"/>
                <w:szCs w:val="20"/>
              </w:rPr>
              <w:t xml:space="preserve">Año 1 (actual)</w:t>
            </w:r>
          </w:p>
        </w:tc>
        <w:tc>
          <w:tcPr>
            <w:shd w:fill="F1F8F6" w:val="clear"/>
          </w:tcPr>
          <w:p>
            <w:pPr>
              <w:spacing w:after="50" w:before="50"/>
              <w:jc w:val="left"/>
            </w:pPr>
            <w:r>
              <w:rPr>
                <w:sz w:val="20"/>
                <w:szCs w:val="20"/>
              </w:rPr>
              <w:t xml:space="preserve">556.000</w:t>
            </w:r>
          </w:p>
        </w:tc>
        <w:tc>
          <w:tcPr>
            <w:shd w:fill="F1F8F6" w:val="clear"/>
          </w:tcPr>
          <w:p>
            <w:pPr>
              <w:spacing w:after="50" w:before="50"/>
              <w:jc w:val="left"/>
            </w:pPr>
            <w:r>
              <w:rPr>
                <w:sz w:val="20"/>
                <w:szCs w:val="20"/>
              </w:rPr>
              <w:t xml:space="preserve">2,224</w:t>
            </w:r>
          </w:p>
        </w:tc>
        <w:tc>
          <w:tcPr>
            <w:shd w:fill="F1F8F6" w:val="clear"/>
          </w:tcPr>
          <w:p>
            <w:pPr>
              <w:spacing w:after="50" w:before="50"/>
              <w:jc w:val="left"/>
            </w:pPr>
            <w:r>
              <w:rPr>
                <w:sz w:val="20"/>
                <w:szCs w:val="20"/>
              </w:rPr>
              <w:t xml:space="preserve">0,155</w:t>
            </w:r>
          </w:p>
        </w:tc>
        <w:tc>
          <w:tcPr>
            <w:shd w:fill="F1F8F6" w:val="clear"/>
          </w:tcPr>
          <w:p>
            <w:pPr>
              <w:spacing w:after="50" w:before="50"/>
              <w:jc w:val="left"/>
            </w:pPr>
            <w:r>
              <w:rPr>
                <w:sz w:val="20"/>
                <w:szCs w:val="20"/>
              </w:rPr>
              <w:t xml:space="preserve">2,379</w:t>
            </w:r>
          </w:p>
        </w:tc>
        <w:tc>
          <w:tcPr>
            <w:shd w:fill="F1F8F6" w:val="clear"/>
          </w:tcPr>
          <w:p>
            <w:pPr>
              <w:spacing w:after="50" w:before="50"/>
              <w:jc w:val="left"/>
            </w:pPr>
            <w:r>
              <w:rPr>
                <w:sz w:val="20"/>
                <w:szCs w:val="20"/>
              </w:rPr>
              <w:t xml:space="preserve">75.019,0</w:t>
            </w:r>
          </w:p>
        </w:tc>
      </w:tr>
      <w:tr>
        <w:tc>
          <w:tcPr>
            <w:shd w:fill="FFFFFF" w:val="clear"/>
          </w:tcPr>
          <w:p>
            <w:pPr>
              <w:spacing w:after="50" w:before="50"/>
              <w:jc w:val="left"/>
            </w:pPr>
            <w:r>
              <w:rPr>
                <w:sz w:val="20"/>
                <w:szCs w:val="20"/>
              </w:rPr>
              <w:t xml:space="preserve">Año 2</w:t>
            </w:r>
          </w:p>
        </w:tc>
        <w:tc>
          <w:tcPr>
            <w:shd w:fill="FFFFFF" w:val="clear"/>
          </w:tcPr>
          <w:p>
            <w:pPr>
              <w:spacing w:after="50" w:before="50"/>
              <w:jc w:val="left"/>
            </w:pPr>
            <w:r>
              <w:rPr>
                <w:sz w:val="20"/>
                <w:szCs w:val="20"/>
              </w:rPr>
              <w:t xml:space="preserve">648.000</w:t>
            </w:r>
          </w:p>
        </w:tc>
        <w:tc>
          <w:tcPr>
            <w:shd w:fill="FFFFFF" w:val="clear"/>
          </w:tcPr>
          <w:p>
            <w:pPr>
              <w:spacing w:after="50" w:before="50"/>
              <w:jc w:val="left"/>
            </w:pPr>
            <w:r>
              <w:rPr>
                <w:sz w:val="20"/>
                <w:szCs w:val="20"/>
              </w:rPr>
              <w:t xml:space="preserve">2,592</w:t>
            </w:r>
          </w:p>
        </w:tc>
        <w:tc>
          <w:tcPr>
            <w:shd w:fill="FFFFFF" w:val="clear"/>
          </w:tcPr>
          <w:p>
            <w:pPr>
              <w:spacing w:after="50" w:before="50"/>
              <w:jc w:val="left"/>
            </w:pPr>
            <w:r>
              <w:rPr>
                <w:sz w:val="20"/>
                <w:szCs w:val="20"/>
              </w:rPr>
              <w:t xml:space="preserve">0,155</w:t>
            </w:r>
          </w:p>
        </w:tc>
        <w:tc>
          <w:tcPr>
            <w:shd w:fill="FFFFFF" w:val="clear"/>
          </w:tcPr>
          <w:p>
            <w:pPr>
              <w:spacing w:after="50" w:before="50"/>
              <w:jc w:val="left"/>
            </w:pPr>
            <w:r>
              <w:rPr>
                <w:sz w:val="20"/>
                <w:szCs w:val="20"/>
              </w:rPr>
              <w:t xml:space="preserve">2,747</w:t>
            </w:r>
          </w:p>
        </w:tc>
        <w:tc>
          <w:tcPr>
            <w:shd w:fill="FFFFFF" w:val="clear"/>
          </w:tcPr>
          <w:p>
            <w:pPr>
              <w:spacing w:after="50" w:before="50"/>
              <w:jc w:val="left"/>
            </w:pPr>
            <w:r>
              <w:rPr>
                <w:sz w:val="20"/>
                <w:szCs w:val="20"/>
              </w:rPr>
              <w:t xml:space="preserve">86.647,7</w:t>
            </w:r>
          </w:p>
        </w:tc>
      </w:tr>
      <w:tr>
        <w:tc>
          <w:tcPr>
            <w:shd w:fill="F1F8F6" w:val="clear"/>
          </w:tcPr>
          <w:p>
            <w:pPr>
              <w:spacing w:after="50" w:before="50"/>
              <w:jc w:val="left"/>
            </w:pPr>
            <w:r>
              <w:rPr>
                <w:sz w:val="20"/>
                <w:szCs w:val="20"/>
              </w:rPr>
              <w:t xml:space="preserve">Año 3</w:t>
            </w:r>
          </w:p>
        </w:tc>
        <w:tc>
          <w:tcPr>
            <w:shd w:fill="F1F8F6" w:val="clear"/>
          </w:tcPr>
          <w:p>
            <w:pPr>
              <w:spacing w:after="50" w:before="50"/>
              <w:jc w:val="left"/>
            </w:pPr>
            <w:r>
              <w:rPr>
                <w:sz w:val="20"/>
                <w:szCs w:val="20"/>
              </w:rPr>
              <w:t xml:space="preserve">740.000</w:t>
            </w:r>
          </w:p>
        </w:tc>
        <w:tc>
          <w:tcPr>
            <w:shd w:fill="F1F8F6" w:val="clear"/>
          </w:tcPr>
          <w:p>
            <w:pPr>
              <w:spacing w:after="50" w:before="50"/>
              <w:jc w:val="left"/>
            </w:pPr>
            <w:r>
              <w:rPr>
                <w:sz w:val="20"/>
                <w:szCs w:val="20"/>
              </w:rPr>
              <w:t xml:space="preserve">2,960</w:t>
            </w:r>
          </w:p>
        </w:tc>
        <w:tc>
          <w:tcPr>
            <w:shd w:fill="F1F8F6" w:val="clear"/>
          </w:tcPr>
          <w:p>
            <w:pPr>
              <w:spacing w:after="50" w:before="50"/>
              <w:jc w:val="left"/>
            </w:pPr>
            <w:r>
              <w:rPr>
                <w:sz w:val="20"/>
                <w:szCs w:val="20"/>
              </w:rPr>
              <w:t xml:space="preserve">0,155</w:t>
            </w:r>
          </w:p>
        </w:tc>
        <w:tc>
          <w:tcPr>
            <w:shd w:fill="F1F8F6" w:val="clear"/>
          </w:tcPr>
          <w:p>
            <w:pPr>
              <w:spacing w:after="50" w:before="50"/>
              <w:jc w:val="left"/>
            </w:pPr>
            <w:r>
              <w:rPr>
                <w:sz w:val="20"/>
                <w:szCs w:val="20"/>
              </w:rPr>
              <w:t xml:space="preserve">3,115</w:t>
            </w:r>
          </w:p>
        </w:tc>
        <w:tc>
          <w:tcPr>
            <w:shd w:fill="F1F8F6" w:val="clear"/>
          </w:tcPr>
          <w:p>
            <w:pPr>
              <w:spacing w:after="50" w:before="50"/>
              <w:jc w:val="left"/>
            </w:pPr>
            <w:r>
              <w:rPr>
                <w:sz w:val="20"/>
                <w:szCs w:val="20"/>
              </w:rPr>
              <w:t xml:space="preserve">98.209,8</w:t>
            </w:r>
          </w:p>
        </w:tc>
      </w:tr>
      <w:tr>
        <w:tc>
          <w:tcPr>
            <w:shd w:fill="FFFFFF" w:val="clear"/>
          </w:tcPr>
          <w:p>
            <w:pPr>
              <w:spacing w:after="50" w:before="50"/>
              <w:jc w:val="left"/>
            </w:pPr>
            <w:r>
              <w:rPr>
                <w:sz w:val="20"/>
                <w:szCs w:val="20"/>
              </w:rPr>
              <w:t xml:space="preserve">Año 4</w:t>
            </w:r>
          </w:p>
        </w:tc>
        <w:tc>
          <w:tcPr>
            <w:shd w:fill="FFFFFF" w:val="clear"/>
          </w:tcPr>
          <w:p>
            <w:pPr>
              <w:spacing w:after="50" w:before="50"/>
              <w:jc w:val="left"/>
            </w:pPr>
            <w:r>
              <w:rPr>
                <w:sz w:val="20"/>
                <w:szCs w:val="20"/>
              </w:rPr>
              <w:t xml:space="preserve">832.000</w:t>
            </w:r>
          </w:p>
        </w:tc>
        <w:tc>
          <w:tcPr>
            <w:shd w:fill="FFFFFF" w:val="clear"/>
          </w:tcPr>
          <w:p>
            <w:pPr>
              <w:spacing w:after="50" w:before="50"/>
              <w:jc w:val="left"/>
            </w:pPr>
            <w:r>
              <w:rPr>
                <w:sz w:val="20"/>
                <w:szCs w:val="20"/>
              </w:rPr>
              <w:t xml:space="preserve">3,328</w:t>
            </w:r>
          </w:p>
        </w:tc>
        <w:tc>
          <w:tcPr>
            <w:shd w:fill="FFFFFF" w:val="clear"/>
          </w:tcPr>
          <w:p>
            <w:pPr>
              <w:spacing w:after="50" w:before="50"/>
              <w:jc w:val="left"/>
            </w:pPr>
            <w:r>
              <w:rPr>
                <w:sz w:val="20"/>
                <w:szCs w:val="20"/>
              </w:rPr>
              <w:t xml:space="preserve">0,155</w:t>
            </w:r>
          </w:p>
        </w:tc>
        <w:tc>
          <w:tcPr>
            <w:shd w:fill="FFFFFF" w:val="clear"/>
          </w:tcPr>
          <w:p>
            <w:pPr>
              <w:spacing w:after="50" w:before="50"/>
              <w:jc w:val="left"/>
            </w:pPr>
            <w:r>
              <w:rPr>
                <w:sz w:val="20"/>
                <w:szCs w:val="20"/>
              </w:rPr>
              <w:t xml:space="preserve">3,483</w:t>
            </w:r>
          </w:p>
        </w:tc>
        <w:tc>
          <w:tcPr>
            <w:shd w:fill="FFFFFF" w:val="clear"/>
          </w:tcPr>
          <w:p>
            <w:pPr>
              <w:spacing w:after="50" w:before="50"/>
              <w:jc w:val="left"/>
            </w:pPr>
            <w:r>
              <w:rPr>
                <w:sz w:val="20"/>
                <w:szCs w:val="20"/>
              </w:rPr>
              <w:t xml:space="preserve">109.842,5</w:t>
            </w:r>
          </w:p>
        </w:tc>
      </w:tr>
      <w:tr>
        <w:tc>
          <w:tcPr>
            <w:shd w:fill="F1F8F6" w:val="clear"/>
          </w:tcPr>
          <w:p>
            <w:pPr>
              <w:spacing w:after="50" w:before="50"/>
              <w:jc w:val="left"/>
            </w:pPr>
            <w:r>
              <w:rPr>
                <w:sz w:val="20"/>
                <w:szCs w:val="20"/>
              </w:rPr>
              <w:t xml:space="preserve">Año 5 (pleno)</w:t>
            </w:r>
          </w:p>
        </w:tc>
        <w:tc>
          <w:tcPr>
            <w:shd w:fill="F1F8F6" w:val="clear"/>
          </w:tcPr>
          <w:p>
            <w:pPr>
              <w:spacing w:after="50" w:before="50"/>
              <w:jc w:val="left"/>
            </w:pPr>
            <w:r>
              <w:rPr>
                <w:sz w:val="20"/>
                <w:szCs w:val="20"/>
              </w:rPr>
              <w:t xml:space="preserve">1.016.000</w:t>
            </w:r>
          </w:p>
        </w:tc>
        <w:tc>
          <w:tcPr>
            <w:shd w:fill="F1F8F6" w:val="clear"/>
          </w:tcPr>
          <w:p>
            <w:pPr>
              <w:spacing w:after="50" w:before="50"/>
              <w:jc w:val="left"/>
            </w:pPr>
            <w:r>
              <w:rPr>
                <w:sz w:val="20"/>
                <w:szCs w:val="20"/>
              </w:rPr>
              <w:t xml:space="preserve">4,064</w:t>
            </w:r>
          </w:p>
        </w:tc>
        <w:tc>
          <w:tcPr>
            <w:shd w:fill="F1F8F6" w:val="clear"/>
          </w:tcPr>
          <w:p>
            <w:pPr>
              <w:spacing w:after="50" w:before="50"/>
              <w:jc w:val="left"/>
            </w:pPr>
            <w:r>
              <w:rPr>
                <w:sz w:val="20"/>
                <w:szCs w:val="20"/>
              </w:rPr>
              <w:t xml:space="preserve">0,155</w:t>
            </w:r>
          </w:p>
        </w:tc>
        <w:tc>
          <w:tcPr>
            <w:shd w:fill="F1F8F6" w:val="clear"/>
          </w:tcPr>
          <w:p>
            <w:pPr>
              <w:spacing w:after="50" w:before="50"/>
              <w:jc w:val="left"/>
            </w:pPr>
            <w:r>
              <w:rPr>
                <w:sz w:val="20"/>
                <w:szCs w:val="20"/>
              </w:rPr>
              <w:t xml:space="preserve">4,219</w:t>
            </w:r>
          </w:p>
        </w:tc>
        <w:tc>
          <w:tcPr>
            <w:shd w:fill="F1F8F6" w:val="clear"/>
          </w:tcPr>
          <w:p>
            <w:pPr>
              <w:spacing w:after="50" w:before="50"/>
              <w:jc w:val="left"/>
            </w:pPr>
            <w:r>
              <w:rPr>
                <w:sz w:val="20"/>
                <w:szCs w:val="20"/>
              </w:rPr>
              <w:t xml:space="preserve">133.042,9</w:t>
            </w:r>
          </w:p>
        </w:tc>
      </w:tr>
    </w:tbl>
    <w:p>
      <w:pPr>
        <w:spacing w:after="180" w:before="60"/>
        <w:jc w:val="left"/>
      </w:pPr>
      <w:r>
        <w:rPr>
          <w:i/>
          <w:iCs/>
          <w:color w:val="777777"/>
          <w:sz w:val="16"/>
          <w:szCs w:val="16"/>
        </w:rPr>
        <w:t xml:space="preserve">Fuente. Proyección elaborada con base en la capacidad declarada de los galpones en construcción del Núcleo 2 (5 galpones × 92.000 aves). Caudal otros usos = 0,068 + 0,059 + 0,028 = 0,155 L/s, constante. Consumo anual = Caudal total × 86.400 × 365.</w:t>
      </w:r>
    </w:p>
    <w:p>
      <w:pPr>
        <w:spacing w:after="160" w:line="320"/>
        <w:jc w:val="both"/>
      </w:pPr>
      <w:r>
        <w:rPr>
          <w:sz w:val="22"/>
          <w:szCs w:val="22"/>
        </w:rPr>
        <w:t xml:space="preserve">El caudal máximo de 4,219 L/s se alcanza en el Año 5, cuando la totalidad de los galpones del Núcleo 2 estén en operación. Este es el caudal que se solicita en concesión, garantizando que el acto administrativo que expida la CAS cubra la demanda máxima del proyecto durante todo el período de vigencia del permiso, sin necesidad de modificaciones posteriores por incremento de capacidad. El incremento interanual de la demanda pecuaria es de aproximadamente 368 L/s por año, equivalente a 92.000 aves × 0,000004 L/s, conforme a la incorporación de un galpón adicional por año.</w:t>
      </w:r>
    </w:p>
    <w:p>
      <w:pPr>
        <w:pStyle w:val="Heading2"/>
        <w:spacing w:after="140" w:before="240"/>
      </w:pPr>
      <w:r>
        <w:rPr>
          <w:b/>
          <w:bCs/>
          <w:color w:val="4A9D8E"/>
          <w:sz w:val="24"/>
          <w:szCs w:val="24"/>
        </w:rPr>
        <w:t xml:space="preserve">10.4. Balance oferta — demanda y disponibilidad hídrica</w:t>
      </w:r>
    </w:p>
    <w:p>
      <w:pPr>
        <w:spacing w:after="160" w:line="320"/>
        <w:jc w:val="both"/>
      </w:pPr>
      <w:r>
        <w:rPr>
          <w:sz w:val="22"/>
          <w:szCs w:val="22"/>
        </w:rPr>
        <w:t xml:space="preserve">El balance hídrico del proyecto se establece comparando la oferta disponible desde el pozo profundo ubicado en las coordenadas latitud 7,275152, longitud -73,558266, con la demanda total calculada de 4,219 L/s. La granja cuenta adicionalmente con un reservorio de aguas lluvias identificado en el levantamiento de campo en coordenadas latitud 7,274473, longitud -73,558548, el cual opera como fuente alterna no contabilizada en la demanda de concesión. El sistema de almacenamiento instalado consta de tres tanques de agua tratada con capacidad unitaria de 100 m³, para un volumen de regulación total de 300 m³.</w:t>
      </w:r>
    </w:p>
    <w:p>
      <w:pPr>
        <w:spacing w:after="160" w:line="320"/>
        <w:jc w:val="both"/>
      </w:pPr>
      <w:r>
        <w:rPr>
          <w:sz w:val="22"/>
          <w:szCs w:val="22"/>
        </w:rPr>
        <w:t xml:space="preserve">El volumen de regulación de 300 m³ representa el equivalente a 0,82 días de consumo a demanda plena (300 m³ ÷ 364,5 m³/día ≈ 0,82 días), lo que garantiza continuidad operativa ante eventuales interrupciones de corta duración en el sistema de bombeo del pozo. Para efectos del balance, la oferta del pozo se evalúa como la capacidad de extracción continua requerida para abastecer la demanda calculada, cuya viabilidad hidrogeológica debe confirmarse mediante el estudio de factibilidad del acuífero, el cual es soporte complementario del presente trámite. El punto de captación cuenta con medidor de caudal instalado, conforme se verificó en el levantamiento de campo, lo que permite el seguimiento de los volúmenes extraídos.</w:t>
      </w:r>
    </w:p>
    <w:p>
      <w:pPr>
        <w:spacing w:after="90" w:before="220"/>
        <w:jc w:val="center"/>
      </w:pPr>
      <w:r>
        <w:rPr>
          <w:b/>
          <w:bCs/>
          <w:sz w:val="20"/>
          <w:szCs w:val="20"/>
        </w:rPr>
        <w:t xml:space="preserve">Tabla 15. Balance oferta — demanda hídrica del proyecto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Componente del balance</w:t>
            </w:r>
          </w:p>
        </w:tc>
        <w:tc>
          <w:tcPr>
            <w:shd w:fill="4A9D8E" w:val="clear"/>
          </w:tcPr>
          <w:p>
            <w:pPr>
              <w:spacing w:after="50" w:before="50"/>
              <w:jc w:val="center"/>
            </w:pPr>
            <w:r>
              <w:rPr>
                <w:b/>
                <w:bCs/>
                <w:color w:val="FFFFFF"/>
                <w:sz w:val="20"/>
                <w:szCs w:val="20"/>
              </w:rPr>
              <w:t xml:space="preserve">Valor</w:t>
            </w:r>
          </w:p>
        </w:tc>
        <w:tc>
          <w:tcPr>
            <w:shd w:fill="4A9D8E" w:val="clear"/>
          </w:tcPr>
          <w:p>
            <w:pPr>
              <w:spacing w:after="50" w:before="50"/>
              <w:jc w:val="center"/>
            </w:pPr>
            <w:r>
              <w:rPr>
                <w:b/>
                <w:bCs/>
                <w:color w:val="FFFFFF"/>
                <w:sz w:val="20"/>
                <w:szCs w:val="20"/>
              </w:rPr>
              <w:t xml:space="preserve">Unidad</w:t>
            </w:r>
          </w:p>
        </w:tc>
      </w:tr>
      <w:tr>
        <w:tc>
          <w:tcPr>
            <w:shd w:fill="F1F8F6" w:val="clear"/>
          </w:tcPr>
          <w:p>
            <w:pPr>
              <w:spacing w:after="50" w:before="50"/>
              <w:jc w:val="left"/>
            </w:pPr>
            <w:r>
              <w:rPr>
                <w:sz w:val="20"/>
                <w:szCs w:val="20"/>
              </w:rPr>
              <w:t xml:space="preserve">Caudal solicitado en concesión</w:t>
            </w:r>
          </w:p>
        </w:tc>
        <w:tc>
          <w:tcPr>
            <w:shd w:fill="F1F8F6" w:val="clear"/>
          </w:tcPr>
          <w:p>
            <w:pPr>
              <w:spacing w:after="50" w:before="50"/>
              <w:jc w:val="left"/>
            </w:pPr>
            <w:r>
              <w:rPr>
                <w:sz w:val="20"/>
                <w:szCs w:val="20"/>
              </w:rPr>
              <w:t xml:space="preserve">4,219</w:t>
            </w:r>
          </w:p>
        </w:tc>
        <w:tc>
          <w:tcPr>
            <w:shd w:fill="F1F8F6" w:val="clear"/>
          </w:tcPr>
          <w:p>
            <w:pPr>
              <w:spacing w:after="50" w:before="50"/>
              <w:jc w:val="left"/>
            </w:pPr>
            <w:r>
              <w:rPr>
                <w:sz w:val="20"/>
                <w:szCs w:val="20"/>
              </w:rPr>
              <w:t xml:space="preserve">L/s</w:t>
            </w:r>
          </w:p>
        </w:tc>
      </w:tr>
      <w:tr>
        <w:tc>
          <w:tcPr>
            <w:shd w:fill="FFFFFF" w:val="clear"/>
          </w:tcPr>
          <w:p>
            <w:pPr>
              <w:spacing w:after="50" w:before="50"/>
              <w:jc w:val="left"/>
            </w:pPr>
            <w:r>
              <w:rPr>
                <w:sz w:val="20"/>
                <w:szCs w:val="20"/>
              </w:rPr>
              <w:t xml:space="preserve">Caudal pecuario (uso principal)</w:t>
            </w:r>
          </w:p>
        </w:tc>
        <w:tc>
          <w:tcPr>
            <w:shd w:fill="FFFFFF" w:val="clear"/>
          </w:tcPr>
          <w:p>
            <w:pPr>
              <w:spacing w:after="50" w:before="50"/>
              <w:jc w:val="left"/>
            </w:pPr>
            <w:r>
              <w:rPr>
                <w:sz w:val="20"/>
                <w:szCs w:val="20"/>
              </w:rPr>
              <w:t xml:space="preserve">4,064</w:t>
            </w:r>
          </w:p>
        </w:tc>
        <w:tc>
          <w:tcPr>
            <w:shd w:fill="FFFFFF" w:val="clear"/>
          </w:tcPr>
          <w:p>
            <w:pPr>
              <w:spacing w:after="50" w:before="50"/>
              <w:jc w:val="left"/>
            </w:pPr>
            <w:r>
              <w:rPr>
                <w:sz w:val="20"/>
                <w:szCs w:val="20"/>
              </w:rPr>
              <w:t xml:space="preserve">L/s</w:t>
            </w:r>
          </w:p>
        </w:tc>
      </w:tr>
      <w:tr>
        <w:tc>
          <w:tcPr>
            <w:shd w:fill="F1F8F6" w:val="clear"/>
          </w:tcPr>
          <w:p>
            <w:pPr>
              <w:spacing w:after="50" w:before="50"/>
              <w:jc w:val="left"/>
            </w:pPr>
            <w:r>
              <w:rPr>
                <w:sz w:val="20"/>
                <w:szCs w:val="20"/>
              </w:rPr>
              <w:t xml:space="preserve">Caudal otros usos (doméstico + desinfección)</w:t>
            </w:r>
          </w:p>
        </w:tc>
        <w:tc>
          <w:tcPr>
            <w:shd w:fill="F1F8F6" w:val="clear"/>
          </w:tcPr>
          <w:p>
            <w:pPr>
              <w:spacing w:after="50" w:before="50"/>
              <w:jc w:val="left"/>
            </w:pPr>
            <w:r>
              <w:rPr>
                <w:sz w:val="20"/>
                <w:szCs w:val="20"/>
              </w:rPr>
              <w:t xml:space="preserve">0,155</w:t>
            </w:r>
          </w:p>
        </w:tc>
        <w:tc>
          <w:tcPr>
            <w:shd w:fill="F1F8F6" w:val="clear"/>
          </w:tcPr>
          <w:p>
            <w:pPr>
              <w:spacing w:after="50" w:before="50"/>
              <w:jc w:val="left"/>
            </w:pPr>
            <w:r>
              <w:rPr>
                <w:sz w:val="20"/>
                <w:szCs w:val="20"/>
              </w:rPr>
              <w:t xml:space="preserve">L/s</w:t>
            </w:r>
          </w:p>
        </w:tc>
      </w:tr>
      <w:tr>
        <w:tc>
          <w:tcPr>
            <w:shd w:fill="FFFFFF" w:val="clear"/>
          </w:tcPr>
          <w:p>
            <w:pPr>
              <w:spacing w:after="50" w:before="50"/>
              <w:jc w:val="left"/>
            </w:pPr>
            <w:r>
              <w:rPr>
                <w:sz w:val="20"/>
                <w:szCs w:val="20"/>
              </w:rPr>
              <w:t xml:space="preserve">Volumen diario demandado (plena capacidad)</w:t>
            </w:r>
          </w:p>
        </w:tc>
        <w:tc>
          <w:tcPr>
            <w:shd w:fill="FFFFFF" w:val="clear"/>
          </w:tcPr>
          <w:p>
            <w:pPr>
              <w:spacing w:after="50" w:before="50"/>
              <w:jc w:val="left"/>
            </w:pPr>
            <w:r>
              <w:rPr>
                <w:sz w:val="20"/>
                <w:szCs w:val="20"/>
              </w:rPr>
              <w:t xml:space="preserve">364,5</w:t>
            </w:r>
          </w:p>
        </w:tc>
        <w:tc>
          <w:tcPr>
            <w:shd w:fill="FFFFFF" w:val="clear"/>
          </w:tcPr>
          <w:p>
            <w:pPr>
              <w:spacing w:after="50" w:before="50"/>
              <w:jc w:val="left"/>
            </w:pPr>
            <w:r>
              <w:rPr>
                <w:sz w:val="20"/>
                <w:szCs w:val="20"/>
              </w:rPr>
              <w:t xml:space="preserve">m³/día</w:t>
            </w:r>
          </w:p>
        </w:tc>
      </w:tr>
      <w:tr>
        <w:tc>
          <w:tcPr>
            <w:shd w:fill="F1F8F6" w:val="clear"/>
          </w:tcPr>
          <w:p>
            <w:pPr>
              <w:spacing w:after="50" w:before="50"/>
              <w:jc w:val="left"/>
            </w:pPr>
            <w:r>
              <w:rPr>
                <w:sz w:val="20"/>
                <w:szCs w:val="20"/>
              </w:rPr>
              <w:t xml:space="preserve">Volumen mensual demandado (plena capacidad)</w:t>
            </w:r>
          </w:p>
        </w:tc>
        <w:tc>
          <w:tcPr>
            <w:shd w:fill="F1F8F6" w:val="clear"/>
          </w:tcPr>
          <w:p>
            <w:pPr>
              <w:spacing w:after="50" w:before="50"/>
              <w:jc w:val="left"/>
            </w:pPr>
            <w:r>
              <w:rPr>
                <w:sz w:val="20"/>
                <w:szCs w:val="20"/>
              </w:rPr>
              <w:t xml:space="preserve">10.935,0</w:t>
            </w:r>
          </w:p>
        </w:tc>
        <w:tc>
          <w:tcPr>
            <w:shd w:fill="F1F8F6" w:val="clear"/>
          </w:tcPr>
          <w:p>
            <w:pPr>
              <w:spacing w:after="50" w:before="50"/>
              <w:jc w:val="left"/>
            </w:pPr>
            <w:r>
              <w:rPr>
                <w:sz w:val="20"/>
                <w:szCs w:val="20"/>
              </w:rPr>
              <w:t xml:space="preserve">m³/mes</w:t>
            </w:r>
          </w:p>
        </w:tc>
      </w:tr>
      <w:tr>
        <w:tc>
          <w:tcPr>
            <w:shd w:fill="FFFFFF" w:val="clear"/>
          </w:tcPr>
          <w:p>
            <w:pPr>
              <w:spacing w:after="50" w:before="50"/>
              <w:jc w:val="left"/>
            </w:pPr>
            <w:r>
              <w:rPr>
                <w:sz w:val="20"/>
                <w:szCs w:val="20"/>
              </w:rPr>
              <w:t xml:space="preserve">Volumen anual demandado (plena capacidad)</w:t>
            </w:r>
          </w:p>
        </w:tc>
        <w:tc>
          <w:tcPr>
            <w:shd w:fill="FFFFFF" w:val="clear"/>
          </w:tcPr>
          <w:p>
            <w:pPr>
              <w:spacing w:after="50" w:before="50"/>
              <w:jc w:val="left"/>
            </w:pPr>
            <w:r>
              <w:rPr>
                <w:sz w:val="20"/>
                <w:szCs w:val="20"/>
              </w:rPr>
              <w:t xml:space="preserve">133.042,9</w:t>
            </w:r>
          </w:p>
        </w:tc>
        <w:tc>
          <w:tcPr>
            <w:shd w:fill="FFFFFF" w:val="clear"/>
          </w:tcPr>
          <w:p>
            <w:pPr>
              <w:spacing w:after="50" w:before="50"/>
              <w:jc w:val="left"/>
            </w:pPr>
            <w:r>
              <w:rPr>
                <w:sz w:val="20"/>
                <w:szCs w:val="20"/>
              </w:rPr>
              <w:t xml:space="preserve">m³/año</w:t>
            </w:r>
          </w:p>
        </w:tc>
      </w:tr>
      <w:tr>
        <w:tc>
          <w:tcPr>
            <w:shd w:fill="F1F8F6" w:val="clear"/>
          </w:tcPr>
          <w:p>
            <w:pPr>
              <w:spacing w:after="50" w:before="50"/>
              <w:jc w:val="left"/>
            </w:pPr>
            <w:r>
              <w:rPr>
                <w:sz w:val="20"/>
                <w:szCs w:val="20"/>
              </w:rPr>
              <w:t xml:space="preserve">Capacidad de almacenamiento regulatorio</w:t>
            </w:r>
          </w:p>
        </w:tc>
        <w:tc>
          <w:tcPr>
            <w:shd w:fill="F1F8F6" w:val="clear"/>
          </w:tcPr>
          <w:p>
            <w:pPr>
              <w:spacing w:after="50" w:before="50"/>
              <w:jc w:val="left"/>
            </w:pPr>
            <w:r>
              <w:rPr>
                <w:sz w:val="20"/>
                <w:szCs w:val="20"/>
              </w:rPr>
              <w:t xml:space="preserve">300</w:t>
            </w:r>
          </w:p>
        </w:tc>
        <w:tc>
          <w:tcPr>
            <w:shd w:fill="F1F8F6" w:val="clear"/>
          </w:tcPr>
          <w:p>
            <w:pPr>
              <w:spacing w:after="50" w:before="50"/>
              <w:jc w:val="left"/>
            </w:pPr>
            <w:r>
              <w:rPr>
                <w:sz w:val="20"/>
                <w:szCs w:val="20"/>
              </w:rPr>
              <w:t xml:space="preserve">m³</w:t>
            </w:r>
          </w:p>
        </w:tc>
      </w:tr>
      <w:tr>
        <w:tc>
          <w:tcPr>
            <w:shd w:fill="FFFFFF" w:val="clear"/>
          </w:tcPr>
          <w:p>
            <w:pPr>
              <w:spacing w:after="50" w:before="50"/>
              <w:jc w:val="left"/>
            </w:pPr>
            <w:r>
              <w:rPr>
                <w:sz w:val="20"/>
                <w:szCs w:val="20"/>
              </w:rPr>
              <w:t xml:space="preserve">Autonomía de almacenamiento (demanda plena)</w:t>
            </w:r>
          </w:p>
        </w:tc>
        <w:tc>
          <w:tcPr>
            <w:shd w:fill="FFFFFF" w:val="clear"/>
          </w:tcPr>
          <w:p>
            <w:pPr>
              <w:spacing w:after="50" w:before="50"/>
              <w:jc w:val="left"/>
            </w:pPr>
            <w:r>
              <w:rPr>
                <w:sz w:val="20"/>
                <w:szCs w:val="20"/>
              </w:rPr>
              <w:t xml:space="preserve">0,82</w:t>
            </w:r>
          </w:p>
        </w:tc>
        <w:tc>
          <w:tcPr>
            <w:shd w:fill="FFFFFF" w:val="clear"/>
          </w:tcPr>
          <w:p>
            <w:pPr>
              <w:spacing w:after="50" w:before="50"/>
              <w:jc w:val="left"/>
            </w:pPr>
            <w:r>
              <w:rPr>
                <w:sz w:val="20"/>
                <w:szCs w:val="20"/>
              </w:rPr>
              <w:t xml:space="preserve">días</w:t>
            </w:r>
          </w:p>
        </w:tc>
      </w:tr>
      <w:tr>
        <w:tc>
          <w:tcPr>
            <w:shd w:fill="F1F8F6" w:val="clear"/>
          </w:tcPr>
          <w:p>
            <w:pPr>
              <w:spacing w:after="50" w:before="50"/>
              <w:jc w:val="left"/>
            </w:pPr>
            <w:r>
              <w:rPr>
                <w:sz w:val="20"/>
                <w:szCs w:val="20"/>
              </w:rPr>
              <w:t xml:space="preserve">Fuente alterna identificada</w:t>
            </w:r>
          </w:p>
        </w:tc>
        <w:tc>
          <w:tcPr>
            <w:shd w:fill="F1F8F6" w:val="clear"/>
          </w:tcPr>
          <w:p>
            <w:pPr>
              <w:spacing w:after="50" w:before="50"/>
              <w:jc w:val="left"/>
            </w:pPr>
            <w:r>
              <w:rPr>
                <w:sz w:val="20"/>
                <w:szCs w:val="20"/>
              </w:rPr>
              <w:t xml:space="preserve">Reservorio de aguas lluvias</w:t>
            </w:r>
          </w:p>
        </w:tc>
        <w:tc>
          <w:tcPr>
            <w:shd w:fill="F1F8F6" w:val="clear"/>
          </w:tcPr>
          <w:p>
            <w:pPr>
              <w:spacing w:after="50" w:before="50"/>
              <w:jc w:val="left"/>
            </w:pPr>
            <w:r>
              <w:rPr>
                <w:sz w:val="20"/>
                <w:szCs w:val="20"/>
              </w:rPr>
              <w:t xml:space="preserve">—</w:t>
            </w:r>
          </w:p>
        </w:tc>
      </w:tr>
      <w:tr>
        <w:tc>
          <w:tcPr>
            <w:shd w:fill="FFFFFF" w:val="clear"/>
          </w:tcPr>
          <w:p>
            <w:pPr>
              <w:spacing w:after="50" w:before="50"/>
              <w:jc w:val="left"/>
            </w:pPr>
            <w:r>
              <w:rPr>
                <w:sz w:val="20"/>
                <w:szCs w:val="20"/>
              </w:rPr>
              <w:t xml:space="preserve">Medición de caudal en captación</w:t>
            </w:r>
          </w:p>
        </w:tc>
        <w:tc>
          <w:tcPr>
            <w:shd w:fill="FFFFFF" w:val="clear"/>
          </w:tcPr>
          <w:p>
            <w:pPr>
              <w:spacing w:after="50" w:before="50"/>
              <w:jc w:val="left"/>
            </w:pPr>
            <w:r>
              <w:rPr>
                <w:sz w:val="20"/>
                <w:szCs w:val="20"/>
              </w:rPr>
              <w:t xml:space="preserve">Sí — medidor instalado</w:t>
            </w:r>
          </w:p>
        </w:tc>
        <w:tc>
          <w:tcPr>
            <w:shd w:fill="FFFFFF" w:val="clear"/>
          </w:tcPr>
          <w:p>
            <w:pPr>
              <w:spacing w:after="50" w:before="50"/>
              <w:jc w:val="left"/>
            </w:pPr>
            <w:r>
              <w:rPr>
                <w:sz w:val="20"/>
                <w:szCs w:val="20"/>
              </w:rPr>
              <w:t xml:space="preserve">—</w:t>
            </w:r>
          </w:p>
        </w:tc>
      </w:tr>
    </w:tbl>
    <w:p>
      <w:pPr>
        <w:spacing w:after="180" w:before="60"/>
        <w:jc w:val="left"/>
      </w:pPr>
      <w:r>
        <w:rPr>
          <w:i/>
          <w:iCs/>
          <w:color w:val="777777"/>
          <w:sz w:val="16"/>
          <w:szCs w:val="16"/>
        </w:rPr>
        <w:t xml:space="preserve">Fuente. Cálculos propios a partir del desglose de usos del expediente y datos de campo del levantamiento.</w:t>
      </w:r>
    </w:p>
    <w:p>
      <w:pPr>
        <w:spacing w:after="160" w:line="320"/>
        <w:jc w:val="both"/>
      </w:pPr>
      <w:r>
        <w:rPr>
          <w:sz w:val="22"/>
          <w:szCs w:val="22"/>
        </w:rPr>
        <w:t xml:space="preserve">Con base en la información disponible en el expediente, la demanda hídrica del proyecto a plena capacidad (4,219 L/s; 133.042,9 m³/año) es cubierta en su totalidad por la captación del pozo profundo como fuente principal, con el respaldo del reservorio de aguas lluvias como fuente complementaria. La existencia de medición continua en el punto de captación asegura que el titular podrá acreditar ante la CAS el cumplimiento de los volúmenes autorizados dentro del marco de la concesión, y que el PUEAA podrá ser monitoreado mediante indicadores cuantitativos de eficiencia hídrica a lo largo del período de vigencia del permiso.</w:t>
      </w:r>
    </w:p>
    <w:p>
      <w:r>
        <w:br w:type="page"/>
      </w:r>
    </w:p>
    <w:p>
      <w:pPr>
        <w:pStyle w:val="Heading1"/>
        <w:spacing w:after="200" w:before="360"/>
      </w:pPr>
      <w:r>
        <w:rPr>
          <w:b/>
          <w:bCs/>
          <w:color w:val="1F2937"/>
          <w:sz w:val="28"/>
          <w:szCs w:val="28"/>
        </w:rPr>
        <w:t xml:space="preserve">11. DIAGNÓSTICO AMBIENTAL DEL ÁREA DE INFLUENCIA</w:t>
      </w:r>
    </w:p>
    <w:p>
      <w:pPr>
        <w:pStyle w:val="Heading2"/>
        <w:spacing w:after="140" w:before="240"/>
      </w:pPr>
      <w:r>
        <w:rPr>
          <w:b/>
          <w:bCs/>
          <w:color w:val="4A9D8E"/>
          <w:sz w:val="24"/>
          <w:szCs w:val="24"/>
        </w:rPr>
        <w:t xml:space="preserve">11.1. Caracterización general del entorno hídrico</w:t>
      </w:r>
    </w:p>
    <w:p>
      <w:pPr>
        <w:spacing w:after="160" w:line="320"/>
        <w:jc w:val="both"/>
      </w:pPr>
      <w:r>
        <w:rPr>
          <w:sz w:val="22"/>
          <w:szCs w:val="22"/>
        </w:rPr>
        <w:t xml:space="preserve">El predio en el que opera la Granja Avícola Jamaica se localiza en la vereda Aguas Claras, municipio de Sabana de Torres, departamento de Santander, en el flanco suroccidental de la cuenca media del río Sogamoso, unidad hidrográfica que tributa a la gran cuenca del río Magdalena. La fuente de abastecimiento corresponde a un pozo profundo ubicado en las coordenadas latitud 7,275152, longitud -73,558266, cuyo alumbramiento aprovecha el acuífero libre a semiconfinado de la formación aluvial del piedemonte llanero santandereano, caracterizado en la región por horizontes de gravas y arenas de granulometría variada con intercalaciones arcillosas que actúan como acuitardos locales. Adicionalmente, el predio cuenta con un reservorio de aguas lluvias como fuente hídrica alterna, dotado de medidor de caudal independiente, lo cual indica la existencia de un sistema de captación dual que reduce la dependencia exclusiva del acuífero subterráneo.</w:t>
      </w:r>
    </w:p>
    <w:p>
      <w:pPr>
        <w:spacing w:after="160" w:line="320"/>
        <w:jc w:val="both"/>
      </w:pPr>
      <w:r>
        <w:rPr>
          <w:sz w:val="22"/>
          <w:szCs w:val="22"/>
        </w:rPr>
        <w:t xml:space="preserve">El municipio de Sabana de Torres se inscribe en la región del Magdalena Medio santandereano, zona de transición entre la cordillera Oriental y los Llanos Orientales, con régimen de lluvias bimodal influenciado por la Zona de Confluencia Intertropical (ZCIT). La dinámica pluviométrica de la región determina épocas de recarga activa del acuífero durante los periodos húmedos, así como descensos en los niveles freáticos durante las temporadas secas, condición que debe considerarse en la planificación del uso del recurso subterráneo. El contexto climático y la litología local condicionan tanto la disponibilidad hídrica del pozo como la vulnerabilidad del acuífero a procesos de contaminación puntual o difusa provenientes de actividades agropecuarias desarrolladas en el entorno del predio.</w:t>
      </w:r>
    </w:p>
    <w:p>
      <w:pPr>
        <w:pStyle w:val="Heading2"/>
        <w:spacing w:after="140" w:before="240"/>
      </w:pPr>
      <w:r>
        <w:rPr>
          <w:b/>
          <w:bCs/>
          <w:color w:val="4A9D8E"/>
          <w:sz w:val="24"/>
          <w:szCs w:val="24"/>
        </w:rPr>
        <w:t xml:space="preserve">11.2. Presiones antrópicas sobre el recurso hídrico subterráneo</w:t>
      </w:r>
    </w:p>
    <w:p>
      <w:pPr>
        <w:spacing w:after="160" w:line="320"/>
        <w:jc w:val="both"/>
      </w:pPr>
      <w:r>
        <w:rPr>
          <w:sz w:val="22"/>
          <w:szCs w:val="22"/>
        </w:rPr>
        <w:t xml:space="preserve">El área de influencia de la Granja Avícola Jamaica presenta diversas presiones antrópicas sobre el acuífero y los cuerpos de agua superficiales asociados. La actividad avícola intensiva, incluida la del propio proyecto con sus dos núcleos productivos activos y cinco galpones en construcción, genera demandas concentradas de agua subterránea que, sin medición y control sistemáticos, pueden derivar en sobreexplotación localizada del acuífero. El manejo inadecuado de la gallinaza y los efluentes de desinfección —túneles y arcos de desinfección vehicular— representa un riesgo de contaminación por nitratos, amonio y materia orgánica hacia el acuífero si no se cuenta con sistemas impermeabilizados de almacenamiento y disposición. De igual forma, la escorrentía superficial cargada de materia orgánica hacia cuerpos de agua vecinos constituye una presión sobre la calidad del recurso hídrico en la cuenca local.</w:t>
      </w:r>
    </w:p>
    <w:p>
      <w:pPr>
        <w:spacing w:after="160" w:line="320"/>
        <w:jc w:val="both"/>
      </w:pPr>
      <w:r>
        <w:rPr>
          <w:sz w:val="22"/>
          <w:szCs w:val="22"/>
        </w:rPr>
        <w:t xml:space="preserve">A escala de paisaje, la región de Sabana de Torres ha experimentado procesos de deforestación y cambio de uso del suelo relacionados con la expansión ganadera, palmicultura y actividades agropecuarias diversas, condición que reduce la cobertura vegetal protectora de las zonas de recarga y disminuye la capacidad de infiltración efectiva del suelo. Esta deforestación incrementa la erosión laminar y la sedimentación en cauces, afectando la calidad del agua superficial y alterando el balance hídrico del acuífero libre local. La presencia de actividades agrícolas con aplicación de agroquímicos en el entorno del predio es otro factor de presión difusa sobre la calidad del agua subterránea, ya que los pesticidas y fertilizantes de síntesis tienen potencial de lixiviación hacia el nivel freático dependiendo de la profundidad del pozo y de las condiciones texturales del suelo.</w:t>
      </w:r>
    </w:p>
    <w:p>
      <w:pPr>
        <w:pStyle w:val="Heading2"/>
        <w:spacing w:after="140" w:before="240"/>
      </w:pPr>
      <w:r>
        <w:rPr>
          <w:b/>
          <w:bCs/>
          <w:color w:val="4A9D8E"/>
          <w:sz w:val="24"/>
          <w:szCs w:val="24"/>
        </w:rPr>
        <w:t xml:space="preserve">11.3. Riesgos naturales identificados</w:t>
      </w:r>
    </w:p>
    <w:p>
      <w:pPr>
        <w:spacing w:after="160" w:line="320"/>
        <w:jc w:val="both"/>
      </w:pPr>
      <w:r>
        <w:rPr>
          <w:sz w:val="22"/>
          <w:szCs w:val="22"/>
        </w:rPr>
        <w:t xml:space="preserve">La zona del Magdalena Medio santandereano presenta susceptibilidad a fenómenos hidrometeorológicos extremos, entre ellos inundaciones y crecientes súbitas asociadas a la dinámica del río Sogamoso y sus tributarios durante los periodos de lluvias intensas potenciadas por el fenómeno de La Niña. Estas inundaciones pueden afectar la integridad del pozo profundo si el brocal o la cabeza del pozo no cuentan con protección adecuada que impida el ingreso de agua superficial contaminada al sistema de captación. Adicionalmente, la región registra actividad sísmica moderada relacionada con el sistema de fallas del piedemonte de la cordillera Oriental, lo cual representa un riesgo potencial para la integridad estructural del entubado y el sello sanitario del pozo, con consecuencias directas sobre la calidad del agua captada.</w:t>
      </w:r>
    </w:p>
    <w:p>
      <w:pPr>
        <w:pStyle w:val="Heading2"/>
        <w:spacing w:after="140" w:before="240"/>
      </w:pPr>
      <w:r>
        <w:rPr>
          <w:b/>
          <w:bCs/>
          <w:color w:val="4A9D8E"/>
          <w:sz w:val="24"/>
          <w:szCs w:val="24"/>
        </w:rPr>
        <w:t xml:space="preserve">11.4. Identificación de impactos del proyecto sobre el recurso hídrico y medidas de manejo</w:t>
      </w:r>
    </w:p>
    <w:p>
      <w:pPr>
        <w:spacing w:after="160" w:line="320"/>
        <w:jc w:val="both"/>
      </w:pPr>
      <w:r>
        <w:rPr>
          <w:sz w:val="22"/>
          <w:szCs w:val="22"/>
        </w:rPr>
        <w:t xml:space="preserve">La operación del proyecto implica la extracción continua de agua subterránea a un caudal de 4,219 L/s, distribuido entre el uso pecuario avícola, el consumo humano del personal, y los sistemas de desinfección por túnel y arco vehicular. Esta demanda, concentrada en un único punto de captación, genera un cono de depresión en el acuífero local cuya extensión e intensidad dependen de las propiedades hidráulicas del acuífero (transmisividad, coeficiente de almacenamiento), las cuales deben determinarse mediante prueba de bombeo. El vertimiento de aguas residuales domésticas e industriales sin tratamiento adecuado, y el manejo deficiente de residuos avícolas sólidos, constituyen los impactos de mayor relevancia sobre la calidad del recurso hídrico. La existencia de una planta de tratamiento de agua potable (PTAP) en el predio —evidenciada en el registro fotográfico del punto de inspección 13— indica que el titular ha implementado medidas de adecuación de la calidad del agua para consumo humano y uso productivo, lo cual es una condición favorable desde el punto de vista ambiental.</w:t>
      </w:r>
    </w:p>
    <w:p>
      <w:pPr>
        <w:spacing w:after="90" w:before="220"/>
        <w:jc w:val="center"/>
      </w:pPr>
      <w:r>
        <w:rPr>
          <w:b/>
          <w:bCs/>
          <w:sz w:val="20"/>
          <w:szCs w:val="20"/>
        </w:rPr>
        <w:t xml:space="preserve">Tabla 16. Matriz de identificación de impactos y medidas de manejo ambiental sobre el recurso hídrico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Componente afectado</w:t>
            </w:r>
          </w:p>
        </w:tc>
        <w:tc>
          <w:tcPr>
            <w:shd w:fill="4A9D8E" w:val="clear"/>
          </w:tcPr>
          <w:p>
            <w:pPr>
              <w:spacing w:after="50" w:before="50"/>
              <w:jc w:val="center"/>
            </w:pPr>
            <w:r>
              <w:rPr>
                <w:b/>
                <w:bCs/>
                <w:color w:val="FFFFFF"/>
                <w:sz w:val="20"/>
                <w:szCs w:val="20"/>
              </w:rPr>
              <w:t xml:space="preserve">Actividad generadora</w:t>
            </w:r>
          </w:p>
        </w:tc>
        <w:tc>
          <w:tcPr>
            <w:shd w:fill="4A9D8E" w:val="clear"/>
          </w:tcPr>
          <w:p>
            <w:pPr>
              <w:spacing w:after="50" w:before="50"/>
              <w:jc w:val="center"/>
            </w:pPr>
            <w:r>
              <w:rPr>
                <w:b/>
                <w:bCs/>
                <w:color w:val="FFFFFF"/>
                <w:sz w:val="20"/>
                <w:szCs w:val="20"/>
              </w:rPr>
              <w:t xml:space="preserve">Impacto identificado</w:t>
            </w:r>
          </w:p>
        </w:tc>
        <w:tc>
          <w:tcPr>
            <w:shd w:fill="4A9D8E" w:val="clear"/>
          </w:tcPr>
          <w:p>
            <w:pPr>
              <w:spacing w:after="50" w:before="50"/>
              <w:jc w:val="center"/>
            </w:pPr>
            <w:r>
              <w:rPr>
                <w:b/>
                <w:bCs/>
                <w:color w:val="FFFFFF"/>
                <w:sz w:val="20"/>
                <w:szCs w:val="20"/>
              </w:rPr>
              <w:t xml:space="preserve">Calificación</w:t>
            </w:r>
          </w:p>
        </w:tc>
        <w:tc>
          <w:tcPr>
            <w:shd w:fill="4A9D8E" w:val="clear"/>
          </w:tcPr>
          <w:p>
            <w:pPr>
              <w:spacing w:after="50" w:before="50"/>
              <w:jc w:val="center"/>
            </w:pPr>
            <w:r>
              <w:rPr>
                <w:b/>
                <w:bCs/>
                <w:color w:val="FFFFFF"/>
                <w:sz w:val="20"/>
                <w:szCs w:val="20"/>
              </w:rPr>
              <w:t xml:space="preserve">Medida de manejo propuesta</w:t>
            </w:r>
          </w:p>
        </w:tc>
      </w:tr>
      <w:tr>
        <w:tc>
          <w:tcPr>
            <w:shd w:fill="F1F8F6" w:val="clear"/>
          </w:tcPr>
          <w:p>
            <w:pPr>
              <w:spacing w:after="50" w:before="50"/>
              <w:jc w:val="left"/>
            </w:pPr>
            <w:r>
              <w:rPr>
                <w:sz w:val="20"/>
                <w:szCs w:val="20"/>
              </w:rPr>
              <w:t xml:space="preserve">Agua subterránea (cantidad)</w:t>
            </w:r>
          </w:p>
        </w:tc>
        <w:tc>
          <w:tcPr>
            <w:shd w:fill="F1F8F6" w:val="clear"/>
          </w:tcPr>
          <w:p>
            <w:pPr>
              <w:spacing w:after="50" w:before="50"/>
              <w:jc w:val="left"/>
            </w:pPr>
            <w:r>
              <w:rPr>
                <w:sz w:val="20"/>
                <w:szCs w:val="20"/>
              </w:rPr>
              <w:t xml:space="preserve">Extracción continua del pozo profundo</w:t>
            </w:r>
          </w:p>
        </w:tc>
        <w:tc>
          <w:tcPr>
            <w:shd w:fill="F1F8F6" w:val="clear"/>
          </w:tcPr>
          <w:p>
            <w:pPr>
              <w:spacing w:after="50" w:before="50"/>
              <w:jc w:val="left"/>
            </w:pPr>
            <w:r>
              <w:rPr>
                <w:sz w:val="20"/>
                <w:szCs w:val="20"/>
              </w:rPr>
              <w:t xml:space="preserve">Descenso del nivel freático local / sobreexplotación del acuífero</w:t>
            </w:r>
          </w:p>
        </w:tc>
        <w:tc>
          <w:tcPr>
            <w:shd w:fill="F1F8F6" w:val="clear"/>
          </w:tcPr>
          <w:p>
            <w:pPr>
              <w:spacing w:after="50" w:before="50"/>
              <w:jc w:val="left"/>
            </w:pPr>
            <w:r>
              <w:rPr>
                <w:sz w:val="20"/>
                <w:szCs w:val="20"/>
              </w:rPr>
              <w:t xml:space="preserve">Moderado – Permanente</w:t>
            </w:r>
          </w:p>
        </w:tc>
        <w:tc>
          <w:tcPr>
            <w:shd w:fill="F1F8F6" w:val="clear"/>
          </w:tcPr>
          <w:p>
            <w:pPr>
              <w:spacing w:after="50" w:before="50"/>
              <w:jc w:val="left"/>
            </w:pPr>
            <w:r>
              <w:rPr>
                <w:sz w:val="20"/>
                <w:szCs w:val="20"/>
              </w:rPr>
              <w:t xml:space="preserve">Instalación y registro periódico de nivel estático y dinámico; cumplimiento estricto del caudal concesionado; realización de prueba de bombeo para determinar capacidad sostenible del acuífero.</w:t>
            </w:r>
          </w:p>
        </w:tc>
      </w:tr>
      <w:tr>
        <w:tc>
          <w:tcPr>
            <w:shd w:fill="FFFFFF" w:val="clear"/>
          </w:tcPr>
          <w:p>
            <w:pPr>
              <w:spacing w:after="50" w:before="50"/>
              <w:jc w:val="left"/>
            </w:pPr>
            <w:r>
              <w:rPr>
                <w:sz w:val="20"/>
                <w:szCs w:val="20"/>
              </w:rPr>
              <w:t xml:space="preserve">Agua subterránea (calidad)</w:t>
            </w:r>
          </w:p>
        </w:tc>
        <w:tc>
          <w:tcPr>
            <w:shd w:fill="FFFFFF" w:val="clear"/>
          </w:tcPr>
          <w:p>
            <w:pPr>
              <w:spacing w:after="50" w:before="50"/>
              <w:jc w:val="left"/>
            </w:pPr>
            <w:r>
              <w:rPr>
                <w:sz w:val="20"/>
                <w:szCs w:val="20"/>
              </w:rPr>
              <w:t xml:space="preserve">Manejo de gallinaza y efluentes de desinfección en el predio</w:t>
            </w:r>
          </w:p>
        </w:tc>
        <w:tc>
          <w:tcPr>
            <w:shd w:fill="FFFFFF" w:val="clear"/>
          </w:tcPr>
          <w:p>
            <w:pPr>
              <w:spacing w:after="50" w:before="50"/>
              <w:jc w:val="left"/>
            </w:pPr>
            <w:r>
              <w:rPr>
                <w:sz w:val="20"/>
                <w:szCs w:val="20"/>
              </w:rPr>
              <w:t xml:space="preserve">Contaminación del acuífero por lixiviados con nitratos, amonio y materia orgánica</w:t>
            </w:r>
          </w:p>
        </w:tc>
        <w:tc>
          <w:tcPr>
            <w:shd w:fill="FFFFFF" w:val="clear"/>
          </w:tcPr>
          <w:p>
            <w:pPr>
              <w:spacing w:after="50" w:before="50"/>
              <w:jc w:val="left"/>
            </w:pPr>
            <w:r>
              <w:rPr>
                <w:sz w:val="20"/>
                <w:szCs w:val="20"/>
              </w:rPr>
              <w:t xml:space="preserve">Alto – Permanente</w:t>
            </w:r>
          </w:p>
        </w:tc>
        <w:tc>
          <w:tcPr>
            <w:shd w:fill="FFFFFF" w:val="clear"/>
          </w:tcPr>
          <w:p>
            <w:pPr>
              <w:spacing w:after="50" w:before="50"/>
              <w:jc w:val="left"/>
            </w:pPr>
            <w:r>
              <w:rPr>
                <w:sz w:val="20"/>
                <w:szCs w:val="20"/>
              </w:rPr>
              <w:t xml:space="preserve">Impermeabilización de áreas de almacenamiento de gallinaza; diseño de sistema de tratamiento de aguas residuales de proceso; monitoreo periódico de calidad del agua del pozo.</w:t>
            </w:r>
          </w:p>
        </w:tc>
      </w:tr>
      <w:tr>
        <w:tc>
          <w:tcPr>
            <w:shd w:fill="F1F8F6" w:val="clear"/>
          </w:tcPr>
          <w:p>
            <w:pPr>
              <w:spacing w:after="50" w:before="50"/>
              <w:jc w:val="left"/>
            </w:pPr>
            <w:r>
              <w:rPr>
                <w:sz w:val="20"/>
                <w:szCs w:val="20"/>
              </w:rPr>
              <w:t xml:space="preserve">Agua subterránea (calidad)</w:t>
            </w:r>
          </w:p>
        </w:tc>
        <w:tc>
          <w:tcPr>
            <w:shd w:fill="F1F8F6" w:val="clear"/>
          </w:tcPr>
          <w:p>
            <w:pPr>
              <w:spacing w:after="50" w:before="50"/>
              <w:jc w:val="left"/>
            </w:pPr>
            <w:r>
              <w:rPr>
                <w:sz w:val="20"/>
                <w:szCs w:val="20"/>
              </w:rPr>
              <w:t xml:space="preserve">Ingreso de agua superficial al pozo durante inundaciones</w:t>
            </w:r>
          </w:p>
        </w:tc>
        <w:tc>
          <w:tcPr>
            <w:shd w:fill="F1F8F6" w:val="clear"/>
          </w:tcPr>
          <w:p>
            <w:pPr>
              <w:spacing w:after="50" w:before="50"/>
              <w:jc w:val="left"/>
            </w:pPr>
            <w:r>
              <w:rPr>
                <w:sz w:val="20"/>
                <w:szCs w:val="20"/>
              </w:rPr>
              <w:t xml:space="preserve">Contaminación microbiológica del agua captada</w:t>
            </w:r>
          </w:p>
        </w:tc>
        <w:tc>
          <w:tcPr>
            <w:shd w:fill="F1F8F6" w:val="clear"/>
          </w:tcPr>
          <w:p>
            <w:pPr>
              <w:spacing w:after="50" w:before="50"/>
              <w:jc w:val="left"/>
            </w:pPr>
            <w:r>
              <w:rPr>
                <w:sz w:val="20"/>
                <w:szCs w:val="20"/>
              </w:rPr>
              <w:t xml:space="preserve">Moderado – Eventual</w:t>
            </w:r>
          </w:p>
        </w:tc>
        <w:tc>
          <w:tcPr>
            <w:shd w:fill="F1F8F6" w:val="clear"/>
          </w:tcPr>
          <w:p>
            <w:pPr>
              <w:spacing w:after="50" w:before="50"/>
              <w:jc w:val="left"/>
            </w:pPr>
            <w:r>
              <w:rPr>
                <w:sz w:val="20"/>
                <w:szCs w:val="20"/>
              </w:rPr>
              <w:t xml:space="preserve">Protección de brocal y cabeza del pozo con sello sanitario elevado; instalación de tapa hermética; inspección periódica de la infraestructura del pozo.</w:t>
            </w:r>
          </w:p>
        </w:tc>
      </w:tr>
      <w:tr>
        <w:tc>
          <w:tcPr>
            <w:shd w:fill="FFFFFF" w:val="clear"/>
          </w:tcPr>
          <w:p>
            <w:pPr>
              <w:spacing w:after="50" w:before="50"/>
              <w:jc w:val="left"/>
            </w:pPr>
            <w:r>
              <w:rPr>
                <w:sz w:val="20"/>
                <w:szCs w:val="20"/>
              </w:rPr>
              <w:t xml:space="preserve">Agua superficial (calidad)</w:t>
            </w:r>
          </w:p>
        </w:tc>
        <w:tc>
          <w:tcPr>
            <w:shd w:fill="FFFFFF" w:val="clear"/>
          </w:tcPr>
          <w:p>
            <w:pPr>
              <w:spacing w:after="50" w:before="50"/>
              <w:jc w:val="left"/>
            </w:pPr>
            <w:r>
              <w:rPr>
                <w:sz w:val="20"/>
                <w:szCs w:val="20"/>
              </w:rPr>
              <w:t xml:space="preserve">Escorrentía desde áreas de manejo de residuos avícolas</w:t>
            </w:r>
          </w:p>
        </w:tc>
        <w:tc>
          <w:tcPr>
            <w:shd w:fill="FFFFFF" w:val="clear"/>
          </w:tcPr>
          <w:p>
            <w:pPr>
              <w:spacing w:after="50" w:before="50"/>
              <w:jc w:val="left"/>
            </w:pPr>
            <w:r>
              <w:rPr>
                <w:sz w:val="20"/>
                <w:szCs w:val="20"/>
              </w:rPr>
              <w:t xml:space="preserve">Aporte de materia orgánica y nutrientes a cuerpos de agua superficiales vecinos</w:t>
            </w:r>
          </w:p>
        </w:tc>
        <w:tc>
          <w:tcPr>
            <w:shd w:fill="FFFFFF" w:val="clear"/>
          </w:tcPr>
          <w:p>
            <w:pPr>
              <w:spacing w:after="50" w:before="50"/>
              <w:jc w:val="left"/>
            </w:pPr>
            <w:r>
              <w:rPr>
                <w:sz w:val="20"/>
                <w:szCs w:val="20"/>
              </w:rPr>
              <w:t xml:space="preserve">Moderado – Permanente</w:t>
            </w:r>
          </w:p>
        </w:tc>
        <w:tc>
          <w:tcPr>
            <w:shd w:fill="FFFFFF" w:val="clear"/>
          </w:tcPr>
          <w:p>
            <w:pPr>
              <w:spacing w:after="50" w:before="50"/>
              <w:jc w:val="left"/>
            </w:pPr>
            <w:r>
              <w:rPr>
                <w:sz w:val="20"/>
                <w:szCs w:val="20"/>
              </w:rPr>
              <w:t xml:space="preserve">Construcción de cunetas perimetrales y trampas de sólidos; establecimiento de zona de amortiguamiento vegetal en linderos del predio.</w:t>
            </w:r>
          </w:p>
        </w:tc>
      </w:tr>
      <w:tr>
        <w:tc>
          <w:tcPr>
            <w:shd w:fill="F1F8F6" w:val="clear"/>
          </w:tcPr>
          <w:p>
            <w:pPr>
              <w:spacing w:after="50" w:before="50"/>
              <w:jc w:val="left"/>
            </w:pPr>
            <w:r>
              <w:rPr>
                <w:sz w:val="20"/>
                <w:szCs w:val="20"/>
              </w:rPr>
              <w:t xml:space="preserve">Cobertura vegetal / zonas de recarga</w:t>
            </w:r>
          </w:p>
        </w:tc>
        <w:tc>
          <w:tcPr>
            <w:shd w:fill="F1F8F6" w:val="clear"/>
          </w:tcPr>
          <w:p>
            <w:pPr>
              <w:spacing w:after="50" w:before="50"/>
              <w:jc w:val="left"/>
            </w:pPr>
            <w:r>
              <w:rPr>
                <w:sz w:val="20"/>
                <w:szCs w:val="20"/>
              </w:rPr>
              <w:t xml:space="preserve">Expansión de infraestructura productiva (5 galpones en construcción)</w:t>
            </w:r>
          </w:p>
        </w:tc>
        <w:tc>
          <w:tcPr>
            <w:shd w:fill="F1F8F6" w:val="clear"/>
          </w:tcPr>
          <w:p>
            <w:pPr>
              <w:spacing w:after="50" w:before="50"/>
              <w:jc w:val="left"/>
            </w:pPr>
            <w:r>
              <w:rPr>
                <w:sz w:val="20"/>
                <w:szCs w:val="20"/>
              </w:rPr>
              <w:t xml:space="preserve">Reducción de área de infiltración y recarga del acuífero</w:t>
            </w:r>
          </w:p>
        </w:tc>
        <w:tc>
          <w:tcPr>
            <w:shd w:fill="F1F8F6" w:val="clear"/>
          </w:tcPr>
          <w:p>
            <w:pPr>
              <w:spacing w:after="50" w:before="50"/>
              <w:jc w:val="left"/>
            </w:pPr>
            <w:r>
              <w:rPr>
                <w:sz w:val="20"/>
                <w:szCs w:val="20"/>
              </w:rPr>
              <w:t xml:space="preserve">Bajo – Permanente</w:t>
            </w:r>
          </w:p>
        </w:tc>
        <w:tc>
          <w:tcPr>
            <w:shd w:fill="F1F8F6" w:val="clear"/>
          </w:tcPr>
          <w:p>
            <w:pPr>
              <w:spacing w:after="50" w:before="50"/>
              <w:jc w:val="left"/>
            </w:pPr>
            <w:r>
              <w:rPr>
                <w:sz w:val="20"/>
                <w:szCs w:val="20"/>
              </w:rPr>
              <w:t xml:space="preserve">Mantenimiento de cobertura vegetal en áreas no construidas; uso de superficies permeables en zonas de tránsito interno; reposición de vegetación nativa en franjas de protección.</w:t>
            </w:r>
          </w:p>
        </w:tc>
      </w:tr>
      <w:tr>
        <w:tc>
          <w:tcPr>
            <w:shd w:fill="FFFFFF" w:val="clear"/>
          </w:tcPr>
          <w:p>
            <w:pPr>
              <w:spacing w:after="50" w:before="50"/>
              <w:jc w:val="left"/>
            </w:pPr>
            <w:r>
              <w:rPr>
                <w:sz w:val="20"/>
                <w:szCs w:val="20"/>
              </w:rPr>
              <w:t xml:space="preserve">Recurso hídrico (eficiencia de uso)</w:t>
            </w:r>
          </w:p>
        </w:tc>
        <w:tc>
          <w:tcPr>
            <w:shd w:fill="FFFFFF" w:val="clear"/>
          </w:tcPr>
          <w:p>
            <w:pPr>
              <w:spacing w:after="50" w:before="50"/>
              <w:jc w:val="left"/>
            </w:pPr>
            <w:r>
              <w:rPr>
                <w:sz w:val="20"/>
                <w:szCs w:val="20"/>
              </w:rPr>
              <w:t xml:space="preserve">Operación de sistemas de bebedero, limpieza y desinfección</w:t>
            </w:r>
          </w:p>
        </w:tc>
        <w:tc>
          <w:tcPr>
            <w:shd w:fill="FFFFFF" w:val="clear"/>
          </w:tcPr>
          <w:p>
            <w:pPr>
              <w:spacing w:after="50" w:before="50"/>
              <w:jc w:val="left"/>
            </w:pPr>
            <w:r>
              <w:rPr>
                <w:sz w:val="20"/>
                <w:szCs w:val="20"/>
              </w:rPr>
              <w:t xml:space="preserve">Consumo excesivo por fugas o malos hábitos operativos</w:t>
            </w:r>
          </w:p>
        </w:tc>
        <w:tc>
          <w:tcPr>
            <w:shd w:fill="FFFFFF" w:val="clear"/>
          </w:tcPr>
          <w:p>
            <w:pPr>
              <w:spacing w:after="50" w:before="50"/>
              <w:jc w:val="left"/>
            </w:pPr>
            <w:r>
              <w:rPr>
                <w:sz w:val="20"/>
                <w:szCs w:val="20"/>
              </w:rPr>
              <w:t xml:space="preserve">Bajo – Permanente</w:t>
            </w:r>
          </w:p>
        </w:tc>
        <w:tc>
          <w:tcPr>
            <w:shd w:fill="FFFFFF" w:val="clear"/>
          </w:tcPr>
          <w:p>
            <w:pPr>
              <w:spacing w:after="50" w:before="50"/>
              <w:jc w:val="left"/>
            </w:pPr>
            <w:r>
              <w:rPr>
                <w:sz w:val="20"/>
                <w:szCs w:val="20"/>
              </w:rPr>
              <w:t xml:space="preserve">Implementación de las metas de ahorro y eficiencia definidas en el PUEAA; registro mensual de consumo mediante el medidor instalado en el punto de captación; mantenimiento preventivo de la red interna de tubería PVC de 4 pulgadas.</w:t>
            </w:r>
          </w:p>
        </w:tc>
      </w:tr>
      <w:tr>
        <w:tc>
          <w:tcPr>
            <w:shd w:fill="F1F8F6" w:val="clear"/>
          </w:tcPr>
          <w:p>
            <w:pPr>
              <w:spacing w:after="50" w:before="50"/>
              <w:jc w:val="left"/>
            </w:pPr>
            <w:r>
              <w:rPr>
                <w:sz w:val="20"/>
                <w:szCs w:val="20"/>
              </w:rPr>
              <w:t xml:space="preserve">Acuífero (integridad estructural)</w:t>
            </w:r>
          </w:p>
        </w:tc>
        <w:tc>
          <w:tcPr>
            <w:shd w:fill="F1F8F6" w:val="clear"/>
          </w:tcPr>
          <w:p>
            <w:pPr>
              <w:spacing w:after="50" w:before="50"/>
              <w:jc w:val="left"/>
            </w:pPr>
            <w:r>
              <w:rPr>
                <w:sz w:val="20"/>
                <w:szCs w:val="20"/>
              </w:rPr>
              <w:t xml:space="preserve">Actividad sísmica regional</w:t>
            </w:r>
          </w:p>
        </w:tc>
        <w:tc>
          <w:tcPr>
            <w:shd w:fill="F1F8F6" w:val="clear"/>
          </w:tcPr>
          <w:p>
            <w:pPr>
              <w:spacing w:after="50" w:before="50"/>
              <w:jc w:val="left"/>
            </w:pPr>
            <w:r>
              <w:rPr>
                <w:sz w:val="20"/>
                <w:szCs w:val="20"/>
              </w:rPr>
              <w:t xml:space="preserve">Daño al entubado del pozo y pérdida del sello sanitario</w:t>
            </w:r>
          </w:p>
        </w:tc>
        <w:tc>
          <w:tcPr>
            <w:shd w:fill="F1F8F6" w:val="clear"/>
          </w:tcPr>
          <w:p>
            <w:pPr>
              <w:spacing w:after="50" w:before="50"/>
              <w:jc w:val="left"/>
            </w:pPr>
            <w:r>
              <w:rPr>
                <w:sz w:val="20"/>
                <w:szCs w:val="20"/>
              </w:rPr>
              <w:t xml:space="preserve">Bajo – Eventual</w:t>
            </w:r>
          </w:p>
        </w:tc>
        <w:tc>
          <w:tcPr>
            <w:shd w:fill="F1F8F6" w:val="clear"/>
          </w:tcPr>
          <w:p>
            <w:pPr>
              <w:spacing w:after="50" w:before="50"/>
              <w:jc w:val="left"/>
            </w:pPr>
            <w:r>
              <w:rPr>
                <w:sz w:val="20"/>
                <w:szCs w:val="20"/>
              </w:rPr>
              <w:t xml:space="preserve">Inspección anual de la integridad del pozo; plan de contingencia para cierre temporal del pozo y activación del reservorio de aguas lluvias como fuente alterna.</w:t>
            </w:r>
          </w:p>
        </w:tc>
      </w:tr>
    </w:tbl>
    <w:p>
      <w:pPr>
        <w:spacing w:after="180" w:before="60"/>
        <w:jc w:val="left"/>
      </w:pPr>
      <w:r>
        <w:rPr>
          <w:i/>
          <w:iCs/>
          <w:color w:val="777777"/>
          <w:sz w:val="16"/>
          <w:szCs w:val="16"/>
        </w:rPr>
        <w:t xml:space="preserve">Fuente. Elaboración propia con base en los puntos de inspección de campo del expediente y los lineamientos de la Guía de Manejo Ambiental del Sector Avícola.</w:t>
      </w:r>
    </w:p>
    <w:p>
      <w:pPr>
        <w:spacing w:after="160" w:line="320"/>
        <w:jc w:val="both"/>
      </w:pPr>
      <w:r>
        <w:rPr>
          <w:sz w:val="22"/>
          <w:szCs w:val="22"/>
        </w:rPr>
        <w:t xml:space="preserve">Las medidas de manejo consignadas en la tabla anterior se articulan con los programas de uso eficiente desarrollados en el presente PUEAA y constituyen compromisos de obligatorio cumplimiento por parte de AVSA SA como titular de la concesión. El sistema de medición del caudal ya instalado en el punto de captación del pozo —y en el reservorio de aguas lluvias, según el punto de inspección 14— provee la infraestructura de monitoreo básica requerida para verificar el cumplimiento del caudal concesionado y detectar oportunamente anomalías en el consumo. La existencia del reservorio como fuente alterna constituye un elemento positivo del diseño hídrico del proyecto, al permitir la reducción de la presión sobre el acuífero durante periodos de alta disponibilidad pluviométrica, contribuyendo a la sostenibilidad del uso del recurso en el largo plazo.</w:t>
      </w:r>
    </w:p>
    <w:p>
      <w:pPr>
        <w:pStyle w:val="Heading2"/>
        <w:spacing w:after="140" w:before="240"/>
      </w:pPr>
      <w:r>
        <w:rPr>
          <w:b/>
          <w:bCs/>
          <w:color w:val="4A9D8E"/>
          <w:sz w:val="24"/>
          <w:szCs w:val="24"/>
        </w:rPr>
        <w:t xml:space="preserve">11.5. Áreas de importancia ecológica y restricciones ambientales</w:t>
      </w:r>
    </w:p>
    <w:p>
      <w:pPr>
        <w:spacing w:after="160" w:line="320"/>
        <w:jc w:val="both"/>
      </w:pPr>
      <w:r>
        <w:rPr>
          <w:sz w:val="22"/>
          <w:szCs w:val="22"/>
        </w:rPr>
        <w:t xml:space="preserve">De conformidad con lo señalado en el punto de inspección 17, la validación de restricciones ambientales del área del proyecto —incluyendo la verificación de ausencia de traslape con áreas del Sistema Nacional de Áreas Protegidas (SINAP), zonas de reserva forestal de la Ley 2.ª de 1959, humedales RAMSAR u otras figuras de protección— debe realizarse mediante el Estudio de Factibilidad Ambiental complementario al presente documento. Los aspectos sociales identificados en campo destacan que la actividad avícola es reconocida como una de las actividades económicas representativas del municipio de Sabana de Torres, conforme a la información de la ficha de caracterización del Departamento Nacional de Planeación (DNP), lo que indica aceptación social de este tipo de proyectos en el territorio. Esta condición favorece la viabilidad social del trámite de concesión y reduce el riesgo de conflictos comunitarios por el uso del recurso hídrico subterráneo.</w:t>
      </w:r>
    </w:p>
    <w:p>
      <w:r>
        <w:br w:type="page"/>
      </w:r>
    </w:p>
    <w:p>
      <w:pPr>
        <w:pStyle w:val="Heading1"/>
        <w:spacing w:after="200" w:before="360"/>
      </w:pPr>
      <w:r>
        <w:rPr>
          <w:b/>
          <w:bCs/>
          <w:color w:val="1F2937"/>
          <w:sz w:val="28"/>
          <w:szCs w:val="28"/>
        </w:rPr>
        <w:t xml:space="preserve">12. PLAN DE ACCIÓN</w:t>
      </w:r>
    </w:p>
    <w:p>
      <w:pPr>
        <w:spacing w:after="160" w:line="320"/>
        <w:jc w:val="both"/>
      </w:pPr>
      <w:r>
        <w:rPr>
          <w:sz w:val="22"/>
          <w:szCs w:val="22"/>
        </w:rPr>
        <w:t xml:space="preserve">El Plan de Acción del presente Programa para el Uso Eficiente y Ahorro del Agua estructura el conjunto de medidas, actividades y metas que AVSA SA implementará para garantizar el uso racional del recurso hídrico captado del pozo profundo que abastece la Granja Avícola Jamaica. El horizonte de planificación cubre diez (10) años, organizados en tres períodos de gestión: corto plazo (años 1 y 2), mediano plazo (años 3 y 5) y largo plazo (años 6 a 10). Esta temporalidad responde a la naturaleza de la infraestructura instalada, al proceso de expansión productiva en curso —con cinco galpones del Núcleo 2 aún en etapa constructiva— y a los ciclos de evaluación que la Corporación Autónoma Regional de Santander establece para el seguimiento de los instrumentos de planificación hídrica.</w:t>
      </w:r>
    </w:p>
    <w:p>
      <w:pPr>
        <w:pStyle w:val="Heading2"/>
        <w:spacing w:after="140" w:before="240"/>
      </w:pPr>
      <w:r>
        <w:rPr>
          <w:b/>
          <w:bCs/>
          <w:color w:val="4A9D8E"/>
          <w:sz w:val="24"/>
          <w:szCs w:val="24"/>
        </w:rPr>
        <w:t xml:space="preserve">12.1. Metodología de formulación</w:t>
      </w:r>
    </w:p>
    <w:p>
      <w:pPr>
        <w:spacing w:after="160" w:line="320"/>
        <w:jc w:val="both"/>
      </w:pPr>
      <w:r>
        <w:rPr>
          <w:sz w:val="22"/>
          <w:szCs w:val="22"/>
        </w:rPr>
        <w:t xml:space="preserve">La formulación del Plan de Acción se basó en el análisis integrado de los siguientes insumos: (i) el balance entre la demanda hídrica calculada (4,219 L/s) y la capacidad del pozo profundo como fuente de abastecimiento; (ii) el inventario de la infraestructura hidráulica existente —tubería PVC de cuatro pulgadas, tres tanques de almacenamiento de agua tratada con capacidad unitaria de 100 m³ y el reservorio de aguas lluvias como fuente alterna—; (iii) la identificación de los usos activos del recurso en sus cuatro categorías: avicultura, consumo humano, túnel de desinfección y arco de desinfección vehicular; y (iv) los indicadores de eficiencia hídrica derivados del módulo de consumo pecuario aplicado por la CAS. A partir de este diagnóstico se priorizaron las líneas estratégicas según su impacto sobre la reducción de pérdidas, la mejora en la medición y el cierre del ciclo del agua.</w:t>
      </w:r>
    </w:p>
    <w:p>
      <w:pPr>
        <w:spacing w:after="160" w:line="320"/>
        <w:jc w:val="both"/>
      </w:pPr>
      <w:r>
        <w:rPr>
          <w:sz w:val="22"/>
          <w:szCs w:val="22"/>
        </w:rPr>
        <w:t xml:space="preserve">Los criterios de priorización aplicados son: magnitud del ahorro potencial expresado en litros por segundo, viabilidad técnica con la infraestructura instalada, costo de implementación en relación con el ahorro obtenido, y obligatoriedad normativa. Las acciones que inciden directamente sobre el punto de captación y el sistema de medición se clasifican como prioritarias (corto plazo), dado que la Ley 373 de 1997 y el Decreto 1090 de 2018 exigen que el titular disponga de mecanismos de control del volumen extraído desde el inicio de la concesión. Las acciones de mejora de eficiencia en uso final y aprovechamiento de fuentes alternas se programan para el mediano plazo, en concordancia con el cronograma de entrada en operación de los nuevos galpones. Las acciones de seguimiento, evaluación y ajuste del programa conforman el componente de largo plazo.</w:t>
      </w:r>
    </w:p>
    <w:p>
      <w:pPr>
        <w:pStyle w:val="Heading2"/>
        <w:spacing w:after="140" w:before="240"/>
      </w:pPr>
      <w:r>
        <w:rPr>
          <w:b/>
          <w:bCs/>
          <w:color w:val="4A9D8E"/>
          <w:sz w:val="24"/>
          <w:szCs w:val="24"/>
        </w:rPr>
        <w:t xml:space="preserve">12.2. Líneas estratégicas</w:t>
      </w:r>
    </w:p>
    <w:p>
      <w:pPr>
        <w:spacing w:after="160" w:line="320"/>
        <w:jc w:val="both"/>
      </w:pPr>
      <w:r>
        <w:rPr>
          <w:sz w:val="22"/>
          <w:szCs w:val="22"/>
        </w:rPr>
        <w:t xml:space="preserve">El Plan de Acción se articula en cuatro líneas estratégicas que cubren la totalidad del ciclo hídrico del proyecto, desde la captación hasta el vertimiento o reúso. Cada línea agrupa un conjunto de programas con metas cuantificables, responsables definidos y presupuesto asignado, cuyo detalle se desarrolla en las fichas de la sección siguiente.</w:t>
      </w:r>
    </w:p>
    <w:p>
      <w:pPr>
        <w:pStyle w:val="ListParagraph"/>
        <w:numPr>
          <w:ilvl w:val="0"/>
          <w:numId w:val="7"/>
        </w:numPr>
        <w:spacing w:after="100" w:line="300"/>
        <w:jc w:val="both"/>
      </w:pPr>
      <w:r>
        <w:rPr>
          <w:sz w:val="22"/>
          <w:szCs w:val="22"/>
        </w:rPr>
        <w:t xml:space="preserve">Línea 1 — Medición y control del recurso captado: Fortalecimiento del sistema de macromedición en el pozo profundo y en el reservorio de aguas lluvias, verificación periódica de los equipos de medición instalados, y registro sistemático de los volúmenes extraídos por uso.</w:t>
      </w:r>
    </w:p>
    <w:p>
      <w:pPr>
        <w:pStyle w:val="ListParagraph"/>
        <w:numPr>
          <w:ilvl w:val="0"/>
          <w:numId w:val="7"/>
        </w:numPr>
        <w:spacing w:after="100" w:line="300"/>
        <w:jc w:val="both"/>
      </w:pPr>
      <w:r>
        <w:rPr>
          <w:sz w:val="22"/>
          <w:szCs w:val="22"/>
        </w:rPr>
        <w:t xml:space="preserve">Línea 2 — Reducción de pérdidas en conducción y almacenamiento: Inspección, mantenimiento preventivo y correctivo de la red de tubería PVC de cuatro pulgadas, revisión de la hermeticidad de los tres tanques de almacenamiento y detección de fugas en puntos de distribución internos.</w:t>
      </w:r>
    </w:p>
    <w:p>
      <w:pPr>
        <w:pStyle w:val="ListParagraph"/>
        <w:numPr>
          <w:ilvl w:val="0"/>
          <w:numId w:val="7"/>
        </w:numPr>
        <w:spacing w:after="100" w:line="300"/>
        <w:jc w:val="both"/>
      </w:pPr>
      <w:r>
        <w:rPr>
          <w:sz w:val="22"/>
          <w:szCs w:val="22"/>
        </w:rPr>
        <w:t xml:space="preserve">Línea 3 — Uso eficiente en procesos productivos y sanitarios: Optimización del consumo en bebederos y sistemas de limpieza de galpones, ajuste de los ciclos de operación del túnel de desinfección y el arco de desinfección vehicular con base en el registro real de personas y vehículos, y aprovechamiento del reservorio de aguas lluvias como fuente complementaria.</w:t>
      </w:r>
    </w:p>
    <w:p>
      <w:pPr>
        <w:pStyle w:val="ListParagraph"/>
        <w:numPr>
          <w:ilvl w:val="0"/>
          <w:numId w:val="7"/>
        </w:numPr>
        <w:spacing w:after="100" w:line="300"/>
        <w:jc w:val="both"/>
      </w:pPr>
      <w:r>
        <w:rPr>
          <w:sz w:val="22"/>
          <w:szCs w:val="22"/>
        </w:rPr>
        <w:t xml:space="preserve">Línea 4 — Monitoreo, reporte y mejora continua: Implementación del sistema de indicadores de eficiencia hídrica, elaboración de informes anuales de seguimiento al PUEAA para presentación ante la CAS, y actualización del plan de acción al término de cada período de gestión.</w:t>
      </w:r>
    </w:p>
    <w:p>
      <w:pPr>
        <w:pStyle w:val="Heading2"/>
        <w:spacing w:after="140" w:before="240"/>
      </w:pPr>
      <w:r>
        <w:rPr>
          <w:b/>
          <w:bCs/>
          <w:color w:val="4A9D8E"/>
          <w:sz w:val="24"/>
          <w:szCs w:val="24"/>
        </w:rPr>
        <w:t xml:space="preserve">12.3. Estructura temporal del plan</w:t>
      </w:r>
    </w:p>
    <w:p>
      <w:pPr>
        <w:spacing w:after="160" w:line="320"/>
        <w:jc w:val="both"/>
      </w:pPr>
      <w:r>
        <w:rPr>
          <w:sz w:val="22"/>
          <w:szCs w:val="22"/>
        </w:rPr>
        <w:t xml:space="preserve">El período de corto plazo concentra las acciones de carácter obligatorio e inmediato que condicionan la operación legal de la concesión. Durante los primeros dos años, el titular deberá verificar la calibración del medidor de caudal instalado en el pozo profundo, establecer el registro mensual de volúmenes por uso, formalizar el protocolo de operación del sistema de tratamiento de agua (PTAP), e iniciar el programa de inspección de la red de conducción. Estas acciones son condición para el primer informe de seguimiento que la CAS requiere dentro del primer año de vigencia de la concesión.</w:t>
      </w:r>
    </w:p>
    <w:p>
      <w:pPr>
        <w:spacing w:after="160" w:line="320"/>
        <w:jc w:val="both"/>
      </w:pPr>
      <w:r>
        <w:rPr>
          <w:sz w:val="22"/>
          <w:szCs w:val="22"/>
        </w:rPr>
        <w:t xml:space="preserve">El período de mediano plazo (años 3 a 5) coincide con la proyección de entrada en operación de los cinco galpones del Núcleo 2 actualmente en construcción, lo que incrementará la demanda hídrica hasta el caudal máximo concesionado. En esta etapa se implementarán las acciones de optimización del uso en los nuevos galpones, la evaluación del potencial de aprovechamiento del reservorio de aguas lluvias para usos no potables —en especial para el arco de desinfección vehicular— y la revisión del balance oferta-demanda con los aforos actualizados del pozo. El mediano plazo también incluye la primera evaluación integral del PUEAA, con ajuste de metas según los indicadores de consumo real registrados.</w:t>
      </w:r>
    </w:p>
    <w:p>
      <w:pPr>
        <w:spacing w:after="160" w:line="320"/>
        <w:jc w:val="both"/>
      </w:pPr>
      <w:r>
        <w:rPr>
          <w:sz w:val="22"/>
          <w:szCs w:val="22"/>
        </w:rPr>
        <w:t xml:space="preserve">El largo plazo (años 6 a 10) tiene como objetivo consolidar las prácticas de uso eficiente como rutinas operativas permanentes de la granja, integradas en los protocolos de gestión interna. En este período se prevé la evaluación de tecnologías de recirculación o reúso del agua utilizada en procesos de limpieza, la actualización del diagnóstico hidrogeológico del pozo profundo y la presentación del informe final de cumplimiento del PUEAA ante la CAS, con miras a la renovación de la concesión.</w:t>
      </w:r>
    </w:p>
    <w:p>
      <w:pPr>
        <w:spacing w:after="90" w:before="220"/>
        <w:jc w:val="center"/>
      </w:pPr>
      <w:r>
        <w:rPr>
          <w:b/>
          <w:bCs/>
          <w:sz w:val="20"/>
          <w:szCs w:val="20"/>
        </w:rPr>
        <w:t xml:space="preserve">Tabla 17. Estructura temporal del Plan de Acción del PUEAA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Período</w:t>
            </w:r>
          </w:p>
        </w:tc>
        <w:tc>
          <w:tcPr>
            <w:shd w:fill="4A9D8E" w:val="clear"/>
          </w:tcPr>
          <w:p>
            <w:pPr>
              <w:spacing w:after="50" w:before="50"/>
              <w:jc w:val="center"/>
            </w:pPr>
            <w:r>
              <w:rPr>
                <w:b/>
                <w:bCs/>
                <w:color w:val="FFFFFF"/>
                <w:sz w:val="20"/>
                <w:szCs w:val="20"/>
              </w:rPr>
              <w:t xml:space="preserve">Horizonte</w:t>
            </w:r>
          </w:p>
        </w:tc>
        <w:tc>
          <w:tcPr>
            <w:shd w:fill="4A9D8E" w:val="clear"/>
          </w:tcPr>
          <w:p>
            <w:pPr>
              <w:spacing w:after="50" w:before="50"/>
              <w:jc w:val="center"/>
            </w:pPr>
            <w:r>
              <w:rPr>
                <w:b/>
                <w:bCs/>
                <w:color w:val="FFFFFF"/>
                <w:sz w:val="20"/>
                <w:szCs w:val="20"/>
              </w:rPr>
              <w:t xml:space="preserve">Líneas estratégicas activas</w:t>
            </w:r>
          </w:p>
        </w:tc>
        <w:tc>
          <w:tcPr>
            <w:shd w:fill="4A9D8E" w:val="clear"/>
          </w:tcPr>
          <w:p>
            <w:pPr>
              <w:spacing w:after="50" w:before="50"/>
              <w:jc w:val="center"/>
            </w:pPr>
            <w:r>
              <w:rPr>
                <w:b/>
                <w:bCs/>
                <w:color w:val="FFFFFF"/>
                <w:sz w:val="20"/>
                <w:szCs w:val="20"/>
              </w:rPr>
              <w:t xml:space="preserve">Hito de seguimiento CAS</w:t>
            </w:r>
          </w:p>
        </w:tc>
      </w:tr>
      <w:tr>
        <w:tc>
          <w:tcPr>
            <w:shd w:fill="F1F8F6" w:val="clear"/>
          </w:tcPr>
          <w:p>
            <w:pPr>
              <w:spacing w:after="50" w:before="50"/>
              <w:jc w:val="left"/>
            </w:pPr>
            <w:r>
              <w:rPr>
                <w:sz w:val="20"/>
                <w:szCs w:val="20"/>
              </w:rPr>
              <w:t xml:space="preserve">Corto plazo</w:t>
            </w:r>
          </w:p>
        </w:tc>
        <w:tc>
          <w:tcPr>
            <w:shd w:fill="F1F8F6" w:val="clear"/>
          </w:tcPr>
          <w:p>
            <w:pPr>
              <w:spacing w:after="50" w:before="50"/>
              <w:jc w:val="left"/>
            </w:pPr>
            <w:r>
              <w:rPr>
                <w:sz w:val="20"/>
                <w:szCs w:val="20"/>
              </w:rPr>
              <w:t xml:space="preserve">Años 1–2</w:t>
            </w:r>
          </w:p>
        </w:tc>
        <w:tc>
          <w:tcPr>
            <w:shd w:fill="F1F8F6" w:val="clear"/>
          </w:tcPr>
          <w:p>
            <w:pPr>
              <w:spacing w:after="50" w:before="50"/>
              <w:jc w:val="left"/>
            </w:pPr>
            <w:r>
              <w:rPr>
                <w:sz w:val="20"/>
                <w:szCs w:val="20"/>
              </w:rPr>
              <w:t xml:space="preserve">L1: Medición y control; L2: Reducción de pérdidas (diagnóstico inicial)</w:t>
            </w:r>
          </w:p>
        </w:tc>
        <w:tc>
          <w:tcPr>
            <w:shd w:fill="F1F8F6" w:val="clear"/>
          </w:tcPr>
          <w:p>
            <w:pPr>
              <w:spacing w:after="50" w:before="50"/>
              <w:jc w:val="left"/>
            </w:pPr>
            <w:r>
              <w:rPr>
                <w:sz w:val="20"/>
                <w:szCs w:val="20"/>
              </w:rPr>
              <w:t xml:space="preserve">Primer informe anual de seguimiento al PUEAA</w:t>
            </w:r>
          </w:p>
        </w:tc>
      </w:tr>
      <w:tr>
        <w:tc>
          <w:tcPr>
            <w:shd w:fill="FFFFFF" w:val="clear"/>
          </w:tcPr>
          <w:p>
            <w:pPr>
              <w:spacing w:after="50" w:before="50"/>
              <w:jc w:val="left"/>
            </w:pPr>
            <w:r>
              <w:rPr>
                <w:sz w:val="20"/>
                <w:szCs w:val="20"/>
              </w:rPr>
              <w:t xml:space="preserve">Mediano plazo</w:t>
            </w:r>
          </w:p>
        </w:tc>
        <w:tc>
          <w:tcPr>
            <w:shd w:fill="FFFFFF" w:val="clear"/>
          </w:tcPr>
          <w:p>
            <w:pPr>
              <w:spacing w:after="50" w:before="50"/>
              <w:jc w:val="left"/>
            </w:pPr>
            <w:r>
              <w:rPr>
                <w:sz w:val="20"/>
                <w:szCs w:val="20"/>
              </w:rPr>
              <w:t xml:space="preserve">Años 3–5</w:t>
            </w:r>
          </w:p>
        </w:tc>
        <w:tc>
          <w:tcPr>
            <w:shd w:fill="FFFFFF" w:val="clear"/>
          </w:tcPr>
          <w:p>
            <w:pPr>
              <w:spacing w:after="50" w:before="50"/>
              <w:jc w:val="left"/>
            </w:pPr>
            <w:r>
              <w:rPr>
                <w:sz w:val="20"/>
                <w:szCs w:val="20"/>
              </w:rPr>
              <w:t xml:space="preserve">L2: Reducción de pérdidas (implementación); L3: Uso eficiente en procesos; L4: Monitoreo y reporte</w:t>
            </w:r>
          </w:p>
        </w:tc>
        <w:tc>
          <w:tcPr>
            <w:shd w:fill="FFFFFF" w:val="clear"/>
          </w:tcPr>
          <w:p>
            <w:pPr>
              <w:spacing w:after="50" w:before="50"/>
              <w:jc w:val="left"/>
            </w:pPr>
            <w:r>
              <w:rPr>
                <w:sz w:val="20"/>
                <w:szCs w:val="20"/>
              </w:rPr>
              <w:t xml:space="preserve">Evaluación integral del PUEAA — ajuste de metas</w:t>
            </w:r>
          </w:p>
        </w:tc>
      </w:tr>
      <w:tr>
        <w:tc>
          <w:tcPr>
            <w:shd w:fill="F1F8F6" w:val="clear"/>
          </w:tcPr>
          <w:p>
            <w:pPr>
              <w:spacing w:after="50" w:before="50"/>
              <w:jc w:val="left"/>
            </w:pPr>
            <w:r>
              <w:rPr>
                <w:sz w:val="20"/>
                <w:szCs w:val="20"/>
              </w:rPr>
              <w:t xml:space="preserve">Largo plazo</w:t>
            </w:r>
          </w:p>
        </w:tc>
        <w:tc>
          <w:tcPr>
            <w:shd w:fill="F1F8F6" w:val="clear"/>
          </w:tcPr>
          <w:p>
            <w:pPr>
              <w:spacing w:after="50" w:before="50"/>
              <w:jc w:val="left"/>
            </w:pPr>
            <w:r>
              <w:rPr>
                <w:sz w:val="20"/>
                <w:szCs w:val="20"/>
              </w:rPr>
              <w:t xml:space="preserve">Años 6–10</w:t>
            </w:r>
          </w:p>
        </w:tc>
        <w:tc>
          <w:tcPr>
            <w:shd w:fill="F1F8F6" w:val="clear"/>
          </w:tcPr>
          <w:p>
            <w:pPr>
              <w:spacing w:after="50" w:before="50"/>
              <w:jc w:val="left"/>
            </w:pPr>
            <w:r>
              <w:rPr>
                <w:sz w:val="20"/>
                <w:szCs w:val="20"/>
              </w:rPr>
              <w:t xml:space="preserve">L3: Optimización avanzada y reúso; L4: Monitoreo, reporte y mejora continua</w:t>
            </w:r>
          </w:p>
        </w:tc>
        <w:tc>
          <w:tcPr>
            <w:shd w:fill="F1F8F6" w:val="clear"/>
          </w:tcPr>
          <w:p>
            <w:pPr>
              <w:spacing w:after="50" w:before="50"/>
              <w:jc w:val="left"/>
            </w:pPr>
            <w:r>
              <w:rPr>
                <w:sz w:val="20"/>
                <w:szCs w:val="20"/>
              </w:rPr>
              <w:t xml:space="preserve">Informe final de cumplimiento — soporte renovación de concesión</w:t>
            </w:r>
          </w:p>
        </w:tc>
      </w:tr>
    </w:tbl>
    <w:p>
      <w:pPr>
        <w:spacing w:after="180" w:before="60"/>
        <w:jc w:val="left"/>
      </w:pPr>
      <w:r>
        <w:rPr>
          <w:i/>
          <w:iCs/>
          <w:color w:val="777777"/>
          <w:sz w:val="16"/>
          <w:szCs w:val="16"/>
        </w:rPr>
        <w:t xml:space="preserve">Fuente. Elaboración propia con base en el diagnóstico hídrico del proyecto y los lineamientos del Decreto 1090 de 2018.</w:t>
      </w:r>
    </w:p>
    <w:p>
      <w:pPr>
        <w:pStyle w:val="Heading2"/>
        <w:spacing w:after="140" w:before="240"/>
      </w:pPr>
      <w:r>
        <w:rPr>
          <w:b/>
          <w:bCs/>
          <w:color w:val="4A9D8E"/>
          <w:sz w:val="24"/>
          <w:szCs w:val="24"/>
        </w:rPr>
        <w:t xml:space="preserve">12.4. Responsables y articulación institucional</w:t>
      </w:r>
    </w:p>
    <w:p>
      <w:pPr>
        <w:spacing w:after="160" w:line="320"/>
        <w:jc w:val="both"/>
      </w:pPr>
      <w:r>
        <w:rPr>
          <w:sz w:val="22"/>
          <w:szCs w:val="22"/>
        </w:rPr>
        <w:t xml:space="preserve">La coordinación general del Plan de Acción recae sobre el área ambiental o el profesional responsable del PUEAA designado por la empresa, quien actuará como interlocutor ante la CAS para los informes de seguimiento. La ejecución operativa de las actividades de medición, mantenimiento y registro corresponde al equipo técnico y de operaciones de la granja. La gerencia del proyecto tiene la responsabilidad de garantizar la disponibilidad presupuestal para cada período de gestión, conforme a las asignaciones detalladas en las fichas de programas. El titular reportará a la CAS el avance de ejecución del plan de acción con la periodicidad establecida en el acto administrativo de la concesión, aportando los registros de medición, los informes de mantenimiento y los indicadores de eficiencia hídrica actualizados.</w:t>
      </w:r>
    </w:p>
    <w:p>
      <w:r>
        <w:br w:type="page"/>
      </w:r>
    </w:p>
    <w:p>
      <w:pPr>
        <w:pStyle w:val="Heading1"/>
        <w:spacing w:after="200" w:before="360"/>
      </w:pPr>
      <w:r>
        <w:rPr>
          <w:b/>
          <w:bCs/>
          <w:color w:val="1F2937"/>
          <w:sz w:val="28"/>
          <w:szCs w:val="28"/>
        </w:rPr>
        <w:t xml:space="preserve">13. PROGRAMAS Y PROYECTOS DEL PUEAA</w:t>
      </w:r>
    </w:p>
    <w:p>
      <w:pPr>
        <w:spacing w:after="160" w:line="320"/>
        <w:jc w:val="both"/>
      </w:pPr>
      <w:r>
        <w:rPr>
          <w:sz w:val="22"/>
          <w:szCs w:val="22"/>
        </w:rPr>
        <w:t xml:space="preserve">El presente capítulo estructura los programas y proyectos que conforman el PUEAA de la Granja Avícola Jamaica, en cumplimiento de lo dispuesto en la Ley 373 de 1997 y el Decreto 1090 de 2018. Cada programa se formula con objetivos específicos, metas cuantificables, actividades concretas derivadas del levantamiento de campo, presupuesto estimado en pesos colombianos y cronograma de implementación a corto (año 1), mediano (años 2-3) y largo plazo (años 4-5). Los cuatro programas responden a las condiciones operativas del proyecto: captación subterránea con medidor en el pozo, conducción en tubería PVC de 4 pulgadas, tres tanques de almacenamiento de agua tratada con capacidad total de 300 m³, reservorio de aguas lluvias como fuente alterna, y una planta de tratamiento en operación que abastece dos núcleos productivos con un caudal concesionado de 4,219 L/s.</w:t>
      </w:r>
    </w:p>
    <w:p>
      <w:pPr>
        <w:pStyle w:val="Heading2"/>
        <w:spacing w:after="140" w:before="240"/>
      </w:pPr>
      <w:r>
        <w:rPr>
          <w:b/>
          <w:bCs/>
          <w:color w:val="4A9D8E"/>
          <w:sz w:val="24"/>
          <w:szCs w:val="24"/>
        </w:rPr>
        <w:t xml:space="preserve">13.1. Programa de educación ambiental y cultura del agua</w:t>
      </w:r>
    </w:p>
    <w:p>
      <w:pPr>
        <w:spacing w:after="160" w:line="320"/>
        <w:jc w:val="both"/>
      </w:pPr>
      <w:r>
        <w:rPr>
          <w:sz w:val="22"/>
          <w:szCs w:val="22"/>
        </w:rPr>
        <w:t xml:space="preserve">El programa busca consolidar una cultura organizacional orientada al uso responsable del recurso hídrico entre el personal permanente y transitorio que labora en la granja. Las 34 personas vinculadas al proyecto constituyen el núcleo receptor de las acciones formativas, las cuales se enfocan en el reconocimiento del pozo profundo como única fuente de abastecimiento, el valor ambiental del acuífero, los procedimientos correctos de operación de los puntos de consumo y la importancia del registro sistemático de lecturas del medidor de caudal instalado en el punto de captación.</w:t>
      </w:r>
    </w:p>
    <w:p>
      <w:pPr>
        <w:pStyle w:val="ListParagraph"/>
        <w:numPr>
          <w:ilvl w:val="0"/>
          <w:numId w:val="1"/>
        </w:numPr>
        <w:spacing w:after="100" w:line="300"/>
        <w:jc w:val="both"/>
      </w:pPr>
      <w:r>
        <w:rPr>
          <w:sz w:val="22"/>
          <w:szCs w:val="22"/>
        </w:rPr>
        <w:t xml:space="preserve">Objetivo: Fortalecer el conocimiento del personal sobre el uso eficiente del agua y las responsabilidades ambientales derivadas de la concesión subterránea.</w:t>
      </w:r>
    </w:p>
    <w:p>
      <w:pPr>
        <w:pStyle w:val="ListParagraph"/>
        <w:numPr>
          <w:ilvl w:val="0"/>
          <w:numId w:val="1"/>
        </w:numPr>
        <w:spacing w:after="100" w:line="300"/>
        <w:jc w:val="both"/>
      </w:pPr>
      <w:r>
        <w:rPr>
          <w:sz w:val="22"/>
          <w:szCs w:val="22"/>
        </w:rPr>
        <w:t xml:space="preserve">Meta 1: Capacitar al 100 % del personal permanente en los primeros seis meses de vigencia del PUEAA.</w:t>
      </w:r>
    </w:p>
    <w:p>
      <w:pPr>
        <w:pStyle w:val="ListParagraph"/>
        <w:numPr>
          <w:ilvl w:val="0"/>
          <w:numId w:val="1"/>
        </w:numPr>
        <w:spacing w:after="100" w:line="300"/>
        <w:jc w:val="both"/>
      </w:pPr>
      <w:r>
        <w:rPr>
          <w:sz w:val="22"/>
          <w:szCs w:val="22"/>
        </w:rPr>
        <w:t xml:space="preserve">Meta 2: Realizar mínimo dos jornadas de sensibilización por año durante los cinco años de vigencia del programa.</w:t>
      </w:r>
    </w:p>
    <w:p>
      <w:pPr>
        <w:pStyle w:val="ListParagraph"/>
        <w:numPr>
          <w:ilvl w:val="0"/>
          <w:numId w:val="1"/>
        </w:numPr>
        <w:spacing w:after="100" w:line="300"/>
        <w:jc w:val="both"/>
      </w:pPr>
      <w:r>
        <w:rPr>
          <w:sz w:val="22"/>
          <w:szCs w:val="22"/>
        </w:rPr>
        <w:t xml:space="preserve">Meta 3: Instalar señalética de ahorro hídrico en los puntos de uso doméstico, túnel de desinfección y arco de desinfección vehicular antes de concluir el primer año.</w:t>
      </w:r>
    </w:p>
    <w:p>
      <w:pPr>
        <w:spacing w:after="160" w:line="320"/>
        <w:jc w:val="both"/>
      </w:pPr>
      <w:r>
        <w:rPr>
          <w:sz w:val="22"/>
          <w:szCs w:val="22"/>
        </w:rPr>
        <w:t xml:space="preserve">Las actividades incluyen: diseño e impresión de material didáctico adaptado a la dinámica operativa de la granja; talleres presenciales sobre lectura e interpretación del medidor de caudal; protocolos escritos para el manejo adecuado del túnel de desinfección (150 L/persona/uso) y del arco vehicular (350 L/vehículo/uso); y elaboración de un registro mensual de consumos por uso, que permita al personal identificar desviaciones frente a los caudales concesionados. El programa se articula con el Programa 13.4 de medición y monitoreo, de modo que los datos registrados retroalimenten los procesos formativos con evidencia real del comportamiento hídrico del proyecto.</w:t>
      </w:r>
    </w:p>
    <w:p>
      <w:pPr>
        <w:spacing w:after="90" w:before="220"/>
        <w:jc w:val="center"/>
      </w:pPr>
      <w:r>
        <w:rPr>
          <w:b/>
          <w:bCs/>
          <w:sz w:val="20"/>
          <w:szCs w:val="20"/>
        </w:rPr>
        <w:t xml:space="preserve">Tabla 18. Presupuesto estimado — Programa 13.1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Valor unitario (COP)</w:t>
            </w:r>
          </w:p>
        </w:tc>
        <w:tc>
          <w:tcPr>
            <w:shd w:fill="4A9D8E" w:val="clear"/>
          </w:tcPr>
          <w:p>
            <w:pPr>
              <w:spacing w:after="50" w:before="50"/>
              <w:jc w:val="center"/>
            </w:pPr>
            <w:r>
              <w:rPr>
                <w:b/>
                <w:bCs/>
                <w:color w:val="FFFFFF"/>
                <w:sz w:val="20"/>
                <w:szCs w:val="20"/>
              </w:rPr>
              <w:t xml:space="preserve">Valor total (COP)</w:t>
            </w:r>
          </w:p>
        </w:tc>
      </w:tr>
      <w:tr>
        <w:tc>
          <w:tcPr>
            <w:shd w:fill="F1F8F6" w:val="clear"/>
          </w:tcPr>
          <w:p>
            <w:pPr>
              <w:spacing w:after="50" w:before="50"/>
              <w:jc w:val="left"/>
            </w:pPr>
            <w:r>
              <w:rPr>
                <w:sz w:val="20"/>
                <w:szCs w:val="20"/>
              </w:rPr>
              <w:t xml:space="preserve">Diseño e impresión de material didáctico</w:t>
            </w:r>
          </w:p>
        </w:tc>
        <w:tc>
          <w:tcPr>
            <w:shd w:fill="F1F8F6" w:val="clear"/>
          </w:tcPr>
          <w:p>
            <w:pPr>
              <w:spacing w:after="50" w:before="50"/>
              <w:jc w:val="left"/>
            </w:pPr>
            <w:r>
              <w:rPr>
                <w:sz w:val="20"/>
                <w:szCs w:val="20"/>
              </w:rPr>
              <w:t xml:space="preserve">Juego</w:t>
            </w:r>
          </w:p>
        </w:tc>
        <w:tc>
          <w:tcPr>
            <w:shd w:fill="F1F8F6" w:val="clear"/>
          </w:tcPr>
          <w:p>
            <w:pPr>
              <w:spacing w:after="50" w:before="50"/>
              <w:jc w:val="left"/>
            </w:pPr>
            <w:r>
              <w:rPr>
                <w:sz w:val="20"/>
                <w:szCs w:val="20"/>
              </w:rPr>
              <w:t xml:space="preserve">5</w:t>
            </w:r>
          </w:p>
        </w:tc>
        <w:tc>
          <w:tcPr>
            <w:shd w:fill="F1F8F6" w:val="clear"/>
          </w:tcPr>
          <w:p>
            <w:pPr>
              <w:spacing w:after="50" w:before="50"/>
              <w:jc w:val="left"/>
            </w:pPr>
            <w:r>
              <w:rPr>
                <w:sz w:val="20"/>
                <w:szCs w:val="20"/>
              </w:rPr>
              <w:t xml:space="preserve">120.000</w:t>
            </w:r>
          </w:p>
        </w:tc>
        <w:tc>
          <w:tcPr>
            <w:shd w:fill="F1F8F6" w:val="clear"/>
          </w:tcPr>
          <w:p>
            <w:pPr>
              <w:spacing w:after="50" w:before="50"/>
              <w:jc w:val="left"/>
            </w:pPr>
            <w:r>
              <w:rPr>
                <w:sz w:val="20"/>
                <w:szCs w:val="20"/>
              </w:rPr>
              <w:t xml:space="preserve">600.000</w:t>
            </w:r>
          </w:p>
        </w:tc>
      </w:tr>
      <w:tr>
        <w:tc>
          <w:tcPr>
            <w:shd w:fill="FFFFFF" w:val="clear"/>
          </w:tcPr>
          <w:p>
            <w:pPr>
              <w:spacing w:after="50" w:before="50"/>
              <w:jc w:val="left"/>
            </w:pPr>
            <w:r>
              <w:rPr>
                <w:sz w:val="20"/>
                <w:szCs w:val="20"/>
              </w:rPr>
              <w:t xml:space="preserve">Talleres de capacitación (facilitador externo)</w:t>
            </w:r>
          </w:p>
        </w:tc>
        <w:tc>
          <w:tcPr>
            <w:shd w:fill="FFFFFF" w:val="clear"/>
          </w:tcPr>
          <w:p>
            <w:pPr>
              <w:spacing w:after="50" w:before="50"/>
              <w:jc w:val="left"/>
            </w:pPr>
            <w:r>
              <w:rPr>
                <w:sz w:val="20"/>
                <w:szCs w:val="20"/>
              </w:rPr>
              <w:t xml:space="preserve">Sesión/año</w:t>
            </w:r>
          </w:p>
        </w:tc>
        <w:tc>
          <w:tcPr>
            <w:shd w:fill="FFFFFF" w:val="clear"/>
          </w:tcPr>
          <w:p>
            <w:pPr>
              <w:spacing w:after="50" w:before="50"/>
              <w:jc w:val="left"/>
            </w:pPr>
            <w:r>
              <w:rPr>
                <w:sz w:val="20"/>
                <w:szCs w:val="20"/>
              </w:rPr>
              <w:t xml:space="preserve">2</w:t>
            </w:r>
          </w:p>
        </w:tc>
        <w:tc>
          <w:tcPr>
            <w:shd w:fill="FFFFFF" w:val="clear"/>
          </w:tcPr>
          <w:p>
            <w:pPr>
              <w:spacing w:after="50" w:before="50"/>
              <w:jc w:val="left"/>
            </w:pPr>
            <w:r>
              <w:rPr>
                <w:sz w:val="20"/>
                <w:szCs w:val="20"/>
              </w:rPr>
              <w:t xml:space="preserve">350.000</w:t>
            </w:r>
          </w:p>
        </w:tc>
        <w:tc>
          <w:tcPr>
            <w:shd w:fill="FFFFFF" w:val="clear"/>
          </w:tcPr>
          <w:p>
            <w:pPr>
              <w:spacing w:after="50" w:before="50"/>
              <w:jc w:val="left"/>
            </w:pPr>
            <w:r>
              <w:rPr>
                <w:sz w:val="20"/>
                <w:szCs w:val="20"/>
              </w:rPr>
              <w:t xml:space="preserve">700.000</w:t>
            </w:r>
          </w:p>
        </w:tc>
      </w:tr>
      <w:tr>
        <w:tc>
          <w:tcPr>
            <w:shd w:fill="F1F8F6" w:val="clear"/>
          </w:tcPr>
          <w:p>
            <w:pPr>
              <w:spacing w:after="50" w:before="50"/>
              <w:jc w:val="left"/>
            </w:pPr>
            <w:r>
              <w:rPr>
                <w:sz w:val="20"/>
                <w:szCs w:val="20"/>
              </w:rPr>
              <w:t xml:space="preserve">Señalética de ahorro hídrico (vinilo + instalación)</w:t>
            </w:r>
          </w:p>
        </w:tc>
        <w:tc>
          <w:tcPr>
            <w:shd w:fill="F1F8F6" w:val="clear"/>
          </w:tcPr>
          <w:p>
            <w:pPr>
              <w:spacing w:after="50" w:before="50"/>
              <w:jc w:val="left"/>
            </w:pPr>
            <w:r>
              <w:rPr>
                <w:sz w:val="20"/>
                <w:szCs w:val="20"/>
              </w:rPr>
              <w:t xml:space="preserve">Unidad</w:t>
            </w:r>
          </w:p>
        </w:tc>
        <w:tc>
          <w:tcPr>
            <w:shd w:fill="F1F8F6" w:val="clear"/>
          </w:tcPr>
          <w:p>
            <w:pPr>
              <w:spacing w:after="50" w:before="50"/>
              <w:jc w:val="left"/>
            </w:pPr>
            <w:r>
              <w:rPr>
                <w:sz w:val="20"/>
                <w:szCs w:val="20"/>
              </w:rPr>
              <w:t xml:space="preserve">12</w:t>
            </w:r>
          </w:p>
        </w:tc>
        <w:tc>
          <w:tcPr>
            <w:shd w:fill="F1F8F6" w:val="clear"/>
          </w:tcPr>
          <w:p>
            <w:pPr>
              <w:spacing w:after="50" w:before="50"/>
              <w:jc w:val="left"/>
            </w:pPr>
            <w:r>
              <w:rPr>
                <w:sz w:val="20"/>
                <w:szCs w:val="20"/>
              </w:rPr>
              <w:t xml:space="preserve">45.000</w:t>
            </w:r>
          </w:p>
        </w:tc>
        <w:tc>
          <w:tcPr>
            <w:shd w:fill="F1F8F6" w:val="clear"/>
          </w:tcPr>
          <w:p>
            <w:pPr>
              <w:spacing w:after="50" w:before="50"/>
              <w:jc w:val="left"/>
            </w:pPr>
            <w:r>
              <w:rPr>
                <w:sz w:val="20"/>
                <w:szCs w:val="20"/>
              </w:rPr>
              <w:t xml:space="preserve">540.000</w:t>
            </w:r>
          </w:p>
        </w:tc>
      </w:tr>
      <w:tr>
        <w:tc>
          <w:tcPr>
            <w:shd w:fill="FFFFFF" w:val="clear"/>
          </w:tcPr>
          <w:p>
            <w:pPr>
              <w:spacing w:after="50" w:before="50"/>
              <w:jc w:val="left"/>
            </w:pPr>
            <w:r>
              <w:rPr>
                <w:sz w:val="20"/>
                <w:szCs w:val="20"/>
              </w:rPr>
              <w:t xml:space="preserve">Elaboración de formatos de registro de consumo</w:t>
            </w:r>
          </w:p>
        </w:tc>
        <w:tc>
          <w:tcPr>
            <w:shd w:fill="FFFFFF" w:val="clear"/>
          </w:tcPr>
          <w:p>
            <w:pPr>
              <w:spacing w:after="50" w:before="50"/>
              <w:jc w:val="left"/>
            </w:pPr>
            <w:r>
              <w:rPr>
                <w:sz w:val="20"/>
                <w:szCs w:val="20"/>
              </w:rPr>
              <w:t xml:space="preserve">Global</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200.000</w:t>
            </w:r>
          </w:p>
        </w:tc>
        <w:tc>
          <w:tcPr>
            <w:shd w:fill="FFFFFF" w:val="clear"/>
          </w:tcPr>
          <w:p>
            <w:pPr>
              <w:spacing w:after="50" w:before="50"/>
              <w:jc w:val="left"/>
            </w:pPr>
            <w:r>
              <w:rPr>
                <w:sz w:val="20"/>
                <w:szCs w:val="20"/>
              </w:rPr>
              <w:t xml:space="preserve">200.000</w:t>
            </w:r>
          </w:p>
        </w:tc>
      </w:tr>
      <w:tr>
        <w:tc>
          <w:tcPr>
            <w:shd w:fill="F1F8F6" w:val="clear"/>
          </w:tcPr>
          <w:p>
            <w:pPr>
              <w:spacing w:after="50" w:before="50"/>
              <w:jc w:val="left"/>
            </w:pPr>
            <w:r>
              <w:rPr>
                <w:sz w:val="20"/>
                <w:szCs w:val="20"/>
              </w:rPr>
              <w:t xml:space="preserve">Total año 1</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2.040.000</w:t>
            </w:r>
          </w:p>
        </w:tc>
      </w:tr>
      <w:tr>
        <w:tc>
          <w:tcPr>
            <w:shd w:fill="FFFFFF" w:val="clear"/>
          </w:tcPr>
          <w:p>
            <w:pPr>
              <w:spacing w:after="50" w:before="50"/>
              <w:jc w:val="left"/>
            </w:pPr>
            <w:r>
              <w:rPr>
                <w:sz w:val="20"/>
                <w:szCs w:val="20"/>
              </w:rPr>
              <w:t xml:space="preserve">Mantenimiento años 2-5 (2 sesiones/año)</w:t>
            </w:r>
          </w:p>
        </w:tc>
        <w:tc>
          <w:tcPr>
            <w:shd w:fill="FFFFFF" w:val="clear"/>
          </w:tcPr>
          <w:p>
            <w:pPr>
              <w:spacing w:after="50" w:before="50"/>
              <w:jc w:val="left"/>
            </w:pPr>
            <w:r>
              <w:rPr>
                <w:sz w:val="20"/>
                <w:szCs w:val="20"/>
              </w:rPr>
              <w:t xml:space="preserve">Sesión/año</w:t>
            </w:r>
          </w:p>
        </w:tc>
        <w:tc>
          <w:tcPr>
            <w:shd w:fill="FFFFFF" w:val="clear"/>
          </w:tcPr>
          <w:p>
            <w:pPr>
              <w:spacing w:after="50" w:before="50"/>
              <w:jc w:val="left"/>
            </w:pPr>
            <w:r>
              <w:rPr>
                <w:sz w:val="20"/>
                <w:szCs w:val="20"/>
              </w:rPr>
              <w:t xml:space="preserve">2</w:t>
            </w:r>
          </w:p>
        </w:tc>
        <w:tc>
          <w:tcPr>
            <w:shd w:fill="FFFFFF" w:val="clear"/>
          </w:tcPr>
          <w:p>
            <w:pPr>
              <w:spacing w:after="50" w:before="50"/>
              <w:jc w:val="left"/>
            </w:pPr>
            <w:r>
              <w:rPr>
                <w:sz w:val="20"/>
                <w:szCs w:val="20"/>
              </w:rPr>
              <w:t xml:space="preserve">350.000</w:t>
            </w:r>
          </w:p>
        </w:tc>
        <w:tc>
          <w:tcPr>
            <w:shd w:fill="FFFFFF" w:val="clear"/>
          </w:tcPr>
          <w:p>
            <w:pPr>
              <w:spacing w:after="50" w:before="50"/>
              <w:jc w:val="left"/>
            </w:pPr>
            <w:r>
              <w:rPr>
                <w:sz w:val="20"/>
                <w:szCs w:val="20"/>
              </w:rPr>
              <w:t xml:space="preserve">700.000/año</w:t>
            </w:r>
          </w:p>
        </w:tc>
      </w:tr>
    </w:tbl>
    <w:p>
      <w:pPr>
        <w:spacing w:after="180" w:before="60"/>
        <w:jc w:val="left"/>
      </w:pPr>
      <w:r>
        <w:rPr>
          <w:i/>
          <w:iCs/>
          <w:color w:val="777777"/>
          <w:sz w:val="16"/>
          <w:szCs w:val="16"/>
        </w:rPr>
        <w:t xml:space="preserve">Fuente. Estimación propia con base en cotizaciones de referencia para el municipio de Sabana de Torres, año 2024.</w:t>
      </w:r>
    </w:p>
    <w:p>
      <w:pPr>
        <w:spacing w:after="90" w:before="220"/>
        <w:jc w:val="center"/>
      </w:pPr>
      <w:r>
        <w:rPr>
          <w:b/>
          <w:bCs/>
          <w:sz w:val="20"/>
          <w:szCs w:val="20"/>
        </w:rPr>
        <w:t xml:space="preserve">Tabla 19. Cronograma — Programa 13.1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Corto plazo (Año 1)</w:t>
            </w:r>
          </w:p>
        </w:tc>
        <w:tc>
          <w:tcPr>
            <w:shd w:fill="4A9D8E" w:val="clear"/>
          </w:tcPr>
          <w:p>
            <w:pPr>
              <w:spacing w:after="50" w:before="50"/>
              <w:jc w:val="center"/>
            </w:pPr>
            <w:r>
              <w:rPr>
                <w:b/>
                <w:bCs/>
                <w:color w:val="FFFFFF"/>
                <w:sz w:val="20"/>
                <w:szCs w:val="20"/>
              </w:rPr>
              <w:t xml:space="preserve">Mediano plazo (Años 2-3)</w:t>
            </w:r>
          </w:p>
        </w:tc>
        <w:tc>
          <w:tcPr>
            <w:shd w:fill="4A9D8E" w:val="clear"/>
          </w:tcPr>
          <w:p>
            <w:pPr>
              <w:spacing w:after="50" w:before="50"/>
              <w:jc w:val="center"/>
            </w:pPr>
            <w:r>
              <w:rPr>
                <w:b/>
                <w:bCs/>
                <w:color w:val="FFFFFF"/>
                <w:sz w:val="20"/>
                <w:szCs w:val="20"/>
              </w:rPr>
              <w:t xml:space="preserve">Largo plazo (Años 4-5)</w:t>
            </w:r>
          </w:p>
        </w:tc>
      </w:tr>
      <w:tr>
        <w:tc>
          <w:tcPr>
            <w:shd w:fill="F1F8F6" w:val="clear"/>
          </w:tcPr>
          <w:p>
            <w:pPr>
              <w:spacing w:after="50" w:before="50"/>
              <w:jc w:val="left"/>
            </w:pPr>
            <w:r>
              <w:rPr>
                <w:sz w:val="20"/>
                <w:szCs w:val="20"/>
              </w:rPr>
              <w:t xml:space="preserve">Diseño de material didáctico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Primera jornada de capacitación</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r>
      <w:tr>
        <w:tc>
          <w:tcPr>
            <w:shd w:fill="F1F8F6" w:val="clear"/>
          </w:tcPr>
          <w:p>
            <w:pPr>
              <w:spacing w:after="50" w:before="50"/>
              <w:jc w:val="left"/>
            </w:pPr>
            <w:r>
              <w:rPr>
                <w:sz w:val="20"/>
                <w:szCs w:val="20"/>
              </w:rPr>
              <w:t xml:space="preserve">Instalación de señalética</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Jornadas de sensibilización anuales</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r>
        <w:tc>
          <w:tcPr>
            <w:shd w:fill="F1F8F6" w:val="clear"/>
          </w:tcPr>
          <w:p>
            <w:pPr>
              <w:spacing w:after="50" w:before="50"/>
              <w:jc w:val="left"/>
            </w:pPr>
            <w:r>
              <w:rPr>
                <w:sz w:val="20"/>
                <w:szCs w:val="20"/>
              </w:rPr>
              <w:t xml:space="preserve">Evaluación y actualización del programa</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r>
    </w:tbl>
    <w:p>
      <w:pPr>
        <w:spacing w:after="180" w:before="60"/>
        <w:jc w:val="left"/>
      </w:pPr>
      <w:r>
        <w:rPr>
          <w:i/>
          <w:iCs/>
          <w:color w:val="777777"/>
          <w:sz w:val="16"/>
          <w:szCs w:val="16"/>
        </w:rPr>
        <w:t xml:space="preserve">Fuente. Formulación propia PUEAA — Granja Avícola Jamaica.</w:t>
      </w:r>
    </w:p>
    <w:p>
      <w:pPr>
        <w:pStyle w:val="Heading2"/>
        <w:spacing w:after="140" w:before="240"/>
      </w:pPr>
      <w:r>
        <w:rPr>
          <w:b/>
          <w:bCs/>
          <w:color w:val="4A9D8E"/>
          <w:sz w:val="24"/>
          <w:szCs w:val="24"/>
        </w:rPr>
        <w:t xml:space="preserve">13.2. Programa de reducción de pérdidas y eficiencia en el consumo</w:t>
      </w:r>
    </w:p>
    <w:p>
      <w:pPr>
        <w:spacing w:after="160" w:line="320"/>
        <w:jc w:val="both"/>
      </w:pPr>
      <w:r>
        <w:rPr>
          <w:sz w:val="22"/>
          <w:szCs w:val="22"/>
        </w:rPr>
        <w:t xml:space="preserve">Este programa responde directamente a la estructura de distribución del recurso captado: desde el pozo profundo el agua es conducida mediante tubería PVC de 4 pulgadas hacia los tres tanques de almacenamiento (300 m³ totales) y de allí distribuida a los dos núcleos productivos. El Núcleo 1, con 6 galpones en operación, y el Núcleo 2, con 2 galpones operativos y 5 en etapa constructiva, representan una demanda creciente que exige controles efectivos de pérdidas en cada tramo de la red interna. La ausencia de registros históricos de pérdidas identificada durante el levantamiento de campo hace prioritaria la implementación de una metodología sistemática de detección y corrección de fugas.</w:t>
      </w:r>
    </w:p>
    <w:p>
      <w:pPr>
        <w:pStyle w:val="ListParagraph"/>
        <w:numPr>
          <w:ilvl w:val="0"/>
          <w:numId w:val="1"/>
        </w:numPr>
        <w:spacing w:after="100" w:line="300"/>
        <w:jc w:val="both"/>
      </w:pPr>
      <w:r>
        <w:rPr>
          <w:sz w:val="22"/>
          <w:szCs w:val="22"/>
        </w:rPr>
        <w:t xml:space="preserve">Objetivo: Reducir las pérdidas de agua en la red interna de conducción y en los puntos de uso, maximizando la eficiencia del caudal concesionado.</w:t>
      </w:r>
    </w:p>
    <w:p>
      <w:pPr>
        <w:pStyle w:val="ListParagraph"/>
        <w:numPr>
          <w:ilvl w:val="0"/>
          <w:numId w:val="1"/>
        </w:numPr>
        <w:spacing w:after="100" w:line="300"/>
        <w:jc w:val="both"/>
      </w:pPr>
      <w:r>
        <w:rPr>
          <w:sz w:val="22"/>
          <w:szCs w:val="22"/>
        </w:rPr>
        <w:t xml:space="preserve">Meta 1: Realizar el primer balance hídrico integral (oferta captada vs. consumo medido por uso) dentro de los tres primeros meses de operación del PUEAA.</w:t>
      </w:r>
    </w:p>
    <w:p>
      <w:pPr>
        <w:pStyle w:val="ListParagraph"/>
        <w:numPr>
          <w:ilvl w:val="0"/>
          <w:numId w:val="1"/>
        </w:numPr>
        <w:spacing w:after="100" w:line="300"/>
        <w:jc w:val="both"/>
      </w:pPr>
      <w:r>
        <w:rPr>
          <w:sz w:val="22"/>
          <w:szCs w:val="22"/>
        </w:rPr>
        <w:t xml:space="preserve">Meta 2: Reducir las pérdidas en la red de conducción a un valor no superior al 10 % del volumen captado mensual, verificable a partir del segundo año.</w:t>
      </w:r>
    </w:p>
    <w:p>
      <w:pPr>
        <w:pStyle w:val="ListParagraph"/>
        <w:numPr>
          <w:ilvl w:val="0"/>
          <w:numId w:val="1"/>
        </w:numPr>
        <w:spacing w:after="100" w:line="300"/>
        <w:jc w:val="both"/>
      </w:pPr>
      <w:r>
        <w:rPr>
          <w:sz w:val="22"/>
          <w:szCs w:val="22"/>
        </w:rPr>
        <w:t xml:space="preserve">Meta 3: Incorporar los 5 galpones en construcción del Núcleo 2 al sistema de medición y control antes de su entrada en operación.</w:t>
      </w:r>
    </w:p>
    <w:p>
      <w:pPr>
        <w:spacing w:after="160" w:line="320"/>
        <w:jc w:val="both"/>
      </w:pPr>
      <w:r>
        <w:rPr>
          <w:sz w:val="22"/>
          <w:szCs w:val="22"/>
        </w:rPr>
        <w:t xml:space="preserve">Las actividades contemplan: inspección visual semestral de la tubería PVC de 4 pulgadas desde el pozo hasta los tanques, con registro fotográfico de uniones, codos y accesorios; prueba de presión anual en la red interna para identificar tramos con pérdidas; revisión y mantenimiento preventivo de los tres tanques de almacenamiento, verificando hermeticidad de tapas, ausencia de fisuras y correcto funcionamiento de las válvulas de bola; y elaboración de un inventario georeferenciado de la red de distribución que incluya diámetros, longitudes, accesorios y puntos de consumo. Este inventario constituirá la línea base para cuantificar las pérdidas reales y definir metas progresivas de reducción.</w:t>
      </w:r>
    </w:p>
    <w:p>
      <w:pPr>
        <w:spacing w:after="90" w:before="220"/>
        <w:jc w:val="center"/>
      </w:pPr>
      <w:r>
        <w:rPr>
          <w:b/>
          <w:bCs/>
          <w:sz w:val="20"/>
          <w:szCs w:val="20"/>
        </w:rPr>
        <w:t xml:space="preserve">Tabla 20. Presupuesto estimado — Programa 13.2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Valor unitario (COP)</w:t>
            </w:r>
          </w:p>
        </w:tc>
        <w:tc>
          <w:tcPr>
            <w:shd w:fill="4A9D8E" w:val="clear"/>
          </w:tcPr>
          <w:p>
            <w:pPr>
              <w:spacing w:after="50" w:before="50"/>
              <w:jc w:val="center"/>
            </w:pPr>
            <w:r>
              <w:rPr>
                <w:b/>
                <w:bCs/>
                <w:color w:val="FFFFFF"/>
                <w:sz w:val="20"/>
                <w:szCs w:val="20"/>
              </w:rPr>
              <w:t xml:space="preserve">Valor total (COP)</w:t>
            </w:r>
          </w:p>
        </w:tc>
      </w:tr>
      <w:tr>
        <w:tc>
          <w:tcPr>
            <w:shd w:fill="F1F8F6" w:val="clear"/>
          </w:tcPr>
          <w:p>
            <w:pPr>
              <w:spacing w:after="50" w:before="50"/>
              <w:jc w:val="left"/>
            </w:pPr>
            <w:r>
              <w:rPr>
                <w:sz w:val="20"/>
                <w:szCs w:val="20"/>
              </w:rPr>
              <w:t xml:space="preserve">Balance hídrico inicial (consultoría técnica)</w:t>
            </w:r>
          </w:p>
        </w:tc>
        <w:tc>
          <w:tcPr>
            <w:shd w:fill="F1F8F6" w:val="clear"/>
          </w:tcPr>
          <w:p>
            <w:pPr>
              <w:spacing w:after="50" w:before="50"/>
              <w:jc w:val="left"/>
            </w:pPr>
            <w:r>
              <w:rPr>
                <w:sz w:val="20"/>
                <w:szCs w:val="20"/>
              </w:rPr>
              <w:t xml:space="preserve">Global</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1.500.000</w:t>
            </w:r>
          </w:p>
        </w:tc>
        <w:tc>
          <w:tcPr>
            <w:shd w:fill="F1F8F6" w:val="clear"/>
          </w:tcPr>
          <w:p>
            <w:pPr>
              <w:spacing w:after="50" w:before="50"/>
              <w:jc w:val="left"/>
            </w:pPr>
            <w:r>
              <w:rPr>
                <w:sz w:val="20"/>
                <w:szCs w:val="20"/>
              </w:rPr>
              <w:t xml:space="preserve">1.500.000</w:t>
            </w:r>
          </w:p>
        </w:tc>
      </w:tr>
      <w:tr>
        <w:tc>
          <w:tcPr>
            <w:shd w:fill="FFFFFF" w:val="clear"/>
          </w:tcPr>
          <w:p>
            <w:pPr>
              <w:spacing w:after="50" w:before="50"/>
              <w:jc w:val="left"/>
            </w:pPr>
            <w:r>
              <w:rPr>
                <w:sz w:val="20"/>
                <w:szCs w:val="20"/>
              </w:rPr>
              <w:t xml:space="preserve">Inspección y prueba de presión de red</w:t>
            </w:r>
          </w:p>
        </w:tc>
        <w:tc>
          <w:tcPr>
            <w:shd w:fill="FFFFFF" w:val="clear"/>
          </w:tcPr>
          <w:p>
            <w:pPr>
              <w:spacing w:after="50" w:before="50"/>
              <w:jc w:val="left"/>
            </w:pPr>
            <w:r>
              <w:rPr>
                <w:sz w:val="20"/>
                <w:szCs w:val="20"/>
              </w:rPr>
              <w:t xml:space="preserve">Visita/año</w:t>
            </w:r>
          </w:p>
        </w:tc>
        <w:tc>
          <w:tcPr>
            <w:shd w:fill="FFFFFF" w:val="clear"/>
          </w:tcPr>
          <w:p>
            <w:pPr>
              <w:spacing w:after="50" w:before="50"/>
              <w:jc w:val="left"/>
            </w:pPr>
            <w:r>
              <w:rPr>
                <w:sz w:val="20"/>
                <w:szCs w:val="20"/>
              </w:rPr>
              <w:t xml:space="preserve">2</w:t>
            </w:r>
          </w:p>
        </w:tc>
        <w:tc>
          <w:tcPr>
            <w:shd w:fill="FFFFFF" w:val="clear"/>
          </w:tcPr>
          <w:p>
            <w:pPr>
              <w:spacing w:after="50" w:before="50"/>
              <w:jc w:val="left"/>
            </w:pPr>
            <w:r>
              <w:rPr>
                <w:sz w:val="20"/>
                <w:szCs w:val="20"/>
              </w:rPr>
              <w:t xml:space="preserve">400.000</w:t>
            </w:r>
          </w:p>
        </w:tc>
        <w:tc>
          <w:tcPr>
            <w:shd w:fill="FFFFFF" w:val="clear"/>
          </w:tcPr>
          <w:p>
            <w:pPr>
              <w:spacing w:after="50" w:before="50"/>
              <w:jc w:val="left"/>
            </w:pPr>
            <w:r>
              <w:rPr>
                <w:sz w:val="20"/>
                <w:szCs w:val="20"/>
              </w:rPr>
              <w:t xml:space="preserve">800.000</w:t>
            </w:r>
          </w:p>
        </w:tc>
      </w:tr>
      <w:tr>
        <w:tc>
          <w:tcPr>
            <w:shd w:fill="F1F8F6" w:val="clear"/>
          </w:tcPr>
          <w:p>
            <w:pPr>
              <w:spacing w:after="50" w:before="50"/>
              <w:jc w:val="left"/>
            </w:pPr>
            <w:r>
              <w:rPr>
                <w:sz w:val="20"/>
                <w:szCs w:val="20"/>
              </w:rPr>
              <w:t xml:space="preserve">Mantenimiento preventivo tanques de almacenamiento</w:t>
            </w:r>
          </w:p>
        </w:tc>
        <w:tc>
          <w:tcPr>
            <w:shd w:fill="F1F8F6" w:val="clear"/>
          </w:tcPr>
          <w:p>
            <w:pPr>
              <w:spacing w:after="50" w:before="50"/>
              <w:jc w:val="left"/>
            </w:pPr>
            <w:r>
              <w:rPr>
                <w:sz w:val="20"/>
                <w:szCs w:val="20"/>
              </w:rPr>
              <w:t xml:space="preserve">Tanque/año</w:t>
            </w:r>
          </w:p>
        </w:tc>
        <w:tc>
          <w:tcPr>
            <w:shd w:fill="F1F8F6" w:val="clear"/>
          </w:tcPr>
          <w:p>
            <w:pPr>
              <w:spacing w:after="50" w:before="50"/>
              <w:jc w:val="left"/>
            </w:pPr>
            <w:r>
              <w:rPr>
                <w:sz w:val="20"/>
                <w:szCs w:val="20"/>
              </w:rPr>
              <w:t xml:space="preserve">3</w:t>
            </w:r>
          </w:p>
        </w:tc>
        <w:tc>
          <w:tcPr>
            <w:shd w:fill="F1F8F6" w:val="clear"/>
          </w:tcPr>
          <w:p>
            <w:pPr>
              <w:spacing w:after="50" w:before="50"/>
              <w:jc w:val="left"/>
            </w:pPr>
            <w:r>
              <w:rPr>
                <w:sz w:val="20"/>
                <w:szCs w:val="20"/>
              </w:rPr>
              <w:t xml:space="preserve">150.000</w:t>
            </w:r>
          </w:p>
        </w:tc>
        <w:tc>
          <w:tcPr>
            <w:shd w:fill="F1F8F6" w:val="clear"/>
          </w:tcPr>
          <w:p>
            <w:pPr>
              <w:spacing w:after="50" w:before="50"/>
              <w:jc w:val="left"/>
            </w:pPr>
            <w:r>
              <w:rPr>
                <w:sz w:val="20"/>
                <w:szCs w:val="20"/>
              </w:rPr>
              <w:t xml:space="preserve">450.000</w:t>
            </w:r>
          </w:p>
        </w:tc>
      </w:tr>
      <w:tr>
        <w:tc>
          <w:tcPr>
            <w:shd w:fill="FFFFFF" w:val="clear"/>
          </w:tcPr>
          <w:p>
            <w:pPr>
              <w:spacing w:after="50" w:before="50"/>
              <w:jc w:val="left"/>
            </w:pPr>
            <w:r>
              <w:rPr>
                <w:sz w:val="20"/>
                <w:szCs w:val="20"/>
              </w:rPr>
              <w:t xml:space="preserve">Inventario georeferenciado de red (SIG)</w:t>
            </w:r>
          </w:p>
        </w:tc>
        <w:tc>
          <w:tcPr>
            <w:shd w:fill="FFFFFF" w:val="clear"/>
          </w:tcPr>
          <w:p>
            <w:pPr>
              <w:spacing w:after="50" w:before="50"/>
              <w:jc w:val="left"/>
            </w:pPr>
            <w:r>
              <w:rPr>
                <w:sz w:val="20"/>
                <w:szCs w:val="20"/>
              </w:rPr>
              <w:t xml:space="preserve">Global</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800.000</w:t>
            </w:r>
          </w:p>
        </w:tc>
        <w:tc>
          <w:tcPr>
            <w:shd w:fill="FFFFFF" w:val="clear"/>
          </w:tcPr>
          <w:p>
            <w:pPr>
              <w:spacing w:after="50" w:before="50"/>
              <w:jc w:val="left"/>
            </w:pPr>
            <w:r>
              <w:rPr>
                <w:sz w:val="20"/>
                <w:szCs w:val="20"/>
              </w:rPr>
              <w:t xml:space="preserve">800.000</w:t>
            </w:r>
          </w:p>
        </w:tc>
      </w:tr>
      <w:tr>
        <w:tc>
          <w:tcPr>
            <w:shd w:fill="F1F8F6" w:val="clear"/>
          </w:tcPr>
          <w:p>
            <w:pPr>
              <w:spacing w:after="50" w:before="50"/>
              <w:jc w:val="left"/>
            </w:pPr>
            <w:r>
              <w:rPr>
                <w:sz w:val="20"/>
                <w:szCs w:val="20"/>
              </w:rPr>
              <w:t xml:space="preserve">Reposición de accesorios y empaques (estimado)</w:t>
            </w:r>
          </w:p>
        </w:tc>
        <w:tc>
          <w:tcPr>
            <w:shd w:fill="F1F8F6" w:val="clear"/>
          </w:tcPr>
          <w:p>
            <w:pPr>
              <w:spacing w:after="50" w:before="50"/>
              <w:jc w:val="left"/>
            </w:pPr>
            <w:r>
              <w:rPr>
                <w:sz w:val="20"/>
                <w:szCs w:val="20"/>
              </w:rPr>
              <w:t xml:space="preserve">Global/año</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500.000</w:t>
            </w:r>
          </w:p>
        </w:tc>
        <w:tc>
          <w:tcPr>
            <w:shd w:fill="F1F8F6" w:val="clear"/>
          </w:tcPr>
          <w:p>
            <w:pPr>
              <w:spacing w:after="50" w:before="50"/>
              <w:jc w:val="left"/>
            </w:pPr>
            <w:r>
              <w:rPr>
                <w:sz w:val="20"/>
                <w:szCs w:val="20"/>
              </w:rPr>
              <w:t xml:space="preserve">500.000</w:t>
            </w:r>
          </w:p>
        </w:tc>
      </w:tr>
      <w:tr>
        <w:tc>
          <w:tcPr>
            <w:shd w:fill="FFFFFF" w:val="clear"/>
          </w:tcPr>
          <w:p>
            <w:pPr>
              <w:spacing w:after="50" w:before="50"/>
              <w:jc w:val="left"/>
            </w:pPr>
            <w:r>
              <w:rPr>
                <w:sz w:val="20"/>
                <w:szCs w:val="20"/>
              </w:rPr>
              <w:t xml:space="preserve">Total año 1</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4.050.000</w:t>
            </w:r>
          </w:p>
        </w:tc>
      </w:tr>
      <w:tr>
        <w:tc>
          <w:tcPr>
            <w:shd w:fill="F1F8F6" w:val="clear"/>
          </w:tcPr>
          <w:p>
            <w:pPr>
              <w:spacing w:after="50" w:before="50"/>
              <w:jc w:val="left"/>
            </w:pPr>
            <w:r>
              <w:rPr>
                <w:sz w:val="20"/>
                <w:szCs w:val="20"/>
              </w:rPr>
              <w:t xml:space="preserve">Mantenimiento años 2-5</w:t>
            </w:r>
          </w:p>
        </w:tc>
        <w:tc>
          <w:tcPr>
            <w:shd w:fill="F1F8F6" w:val="clear"/>
          </w:tcPr>
          <w:p>
            <w:pPr>
              <w:spacing w:after="50" w:before="50"/>
              <w:jc w:val="left"/>
            </w:pPr>
            <w:r>
              <w:rPr>
                <w:sz w:val="20"/>
                <w:szCs w:val="20"/>
              </w:rPr>
              <w:t xml:space="preserve">Global/año</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1.750.000</w:t>
            </w:r>
          </w:p>
        </w:tc>
        <w:tc>
          <w:tcPr>
            <w:shd w:fill="F1F8F6" w:val="clear"/>
          </w:tcPr>
          <w:p>
            <w:pPr>
              <w:spacing w:after="50" w:before="50"/>
              <w:jc w:val="left"/>
            </w:pPr>
            <w:r>
              <w:rPr>
                <w:sz w:val="20"/>
                <w:szCs w:val="20"/>
              </w:rPr>
              <w:t xml:space="preserve">1.750.000/año</w:t>
            </w:r>
          </w:p>
        </w:tc>
      </w:tr>
    </w:tbl>
    <w:p>
      <w:pPr>
        <w:spacing w:after="180" w:before="60"/>
        <w:jc w:val="left"/>
      </w:pPr>
      <w:r>
        <w:rPr>
          <w:i/>
          <w:iCs/>
          <w:color w:val="777777"/>
          <w:sz w:val="16"/>
          <w:szCs w:val="16"/>
        </w:rPr>
        <w:t xml:space="preserve">Fuente. Estimación propia con base en precios de referencia para el departamento de Santander, año 2024.</w:t>
      </w:r>
    </w:p>
    <w:p>
      <w:pPr>
        <w:spacing w:after="90" w:before="220"/>
        <w:jc w:val="center"/>
      </w:pPr>
      <w:r>
        <w:rPr>
          <w:b/>
          <w:bCs/>
          <w:sz w:val="20"/>
          <w:szCs w:val="20"/>
        </w:rPr>
        <w:t xml:space="preserve">Tabla 21. Cronograma — Programa 13.2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Corto plazo (Año 1)</w:t>
            </w:r>
          </w:p>
        </w:tc>
        <w:tc>
          <w:tcPr>
            <w:shd w:fill="4A9D8E" w:val="clear"/>
          </w:tcPr>
          <w:p>
            <w:pPr>
              <w:spacing w:after="50" w:before="50"/>
              <w:jc w:val="center"/>
            </w:pPr>
            <w:r>
              <w:rPr>
                <w:b/>
                <w:bCs/>
                <w:color w:val="FFFFFF"/>
                <w:sz w:val="20"/>
                <w:szCs w:val="20"/>
              </w:rPr>
              <w:t xml:space="preserve">Mediano plazo (Años 2-3)</w:t>
            </w:r>
          </w:p>
        </w:tc>
        <w:tc>
          <w:tcPr>
            <w:shd w:fill="4A9D8E" w:val="clear"/>
          </w:tcPr>
          <w:p>
            <w:pPr>
              <w:spacing w:after="50" w:before="50"/>
              <w:jc w:val="center"/>
            </w:pPr>
            <w:r>
              <w:rPr>
                <w:b/>
                <w:bCs/>
                <w:color w:val="FFFFFF"/>
                <w:sz w:val="20"/>
                <w:szCs w:val="20"/>
              </w:rPr>
              <w:t xml:space="preserve">Largo plazo (Años 4-5)</w:t>
            </w:r>
          </w:p>
        </w:tc>
      </w:tr>
      <w:tr>
        <w:tc>
          <w:tcPr>
            <w:shd w:fill="F1F8F6" w:val="clear"/>
          </w:tcPr>
          <w:p>
            <w:pPr>
              <w:spacing w:after="50" w:before="50"/>
              <w:jc w:val="left"/>
            </w:pPr>
            <w:r>
              <w:rPr>
                <w:sz w:val="20"/>
                <w:szCs w:val="20"/>
              </w:rPr>
              <w:t xml:space="preserve">Balance hídrico inicial</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Inspección de red y prueba de presión</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r>
        <w:tc>
          <w:tcPr>
            <w:shd w:fill="F1F8F6" w:val="clear"/>
          </w:tcPr>
          <w:p>
            <w:pPr>
              <w:spacing w:after="50" w:before="50"/>
              <w:jc w:val="left"/>
            </w:pPr>
            <w:r>
              <w:rPr>
                <w:sz w:val="20"/>
                <w:szCs w:val="20"/>
              </w:rPr>
              <w:t xml:space="preserve">Mantenimiento tanques de almacenamiento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r>
      <w:tr>
        <w:tc>
          <w:tcPr>
            <w:shd w:fill="FFFFFF" w:val="clear"/>
          </w:tcPr>
          <w:p>
            <w:pPr>
              <w:spacing w:after="50" w:before="50"/>
              <w:jc w:val="left"/>
            </w:pPr>
            <w:r>
              <w:rPr>
                <w:sz w:val="20"/>
                <w:szCs w:val="20"/>
              </w:rPr>
              <w:t xml:space="preserve">Elaboración inventario georeferenciado</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r>
      <w:tr>
        <w:tc>
          <w:tcPr>
            <w:shd w:fill="F1F8F6" w:val="clear"/>
          </w:tcPr>
          <w:p>
            <w:pPr>
              <w:spacing w:after="50" w:before="50"/>
              <w:jc w:val="left"/>
            </w:pPr>
            <w:r>
              <w:rPr>
                <w:sz w:val="20"/>
                <w:szCs w:val="20"/>
              </w:rPr>
              <w:t xml:space="preserve">Actualización del inventario de red</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r>
      <w:tr>
        <w:tc>
          <w:tcPr>
            <w:shd w:fill="FFFFFF" w:val="clear"/>
          </w:tcPr>
          <w:p>
            <w:pPr>
              <w:spacing w:after="50" w:before="50"/>
              <w:jc w:val="left"/>
            </w:pPr>
            <w:r>
              <w:rPr>
                <w:sz w:val="20"/>
                <w:szCs w:val="20"/>
              </w:rPr>
              <w:t xml:space="preserve">Incorporación Núcleo 2 al sistema de control</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r>
    </w:tbl>
    <w:p>
      <w:pPr>
        <w:spacing w:after="180" w:before="60"/>
        <w:jc w:val="left"/>
      </w:pPr>
      <w:r>
        <w:rPr>
          <w:i/>
          <w:iCs/>
          <w:color w:val="777777"/>
          <w:sz w:val="16"/>
          <w:szCs w:val="16"/>
        </w:rPr>
        <w:t xml:space="preserve">Fuente. Formulación propia PUEAA — Granja Avícola Jamaica.</w:t>
      </w:r>
    </w:p>
    <w:p>
      <w:pPr>
        <w:pStyle w:val="Heading2"/>
        <w:spacing w:after="140" w:before="240"/>
      </w:pPr>
      <w:r>
        <w:rPr>
          <w:b/>
          <w:bCs/>
          <w:color w:val="4A9D8E"/>
          <w:sz w:val="24"/>
          <w:szCs w:val="24"/>
        </w:rPr>
        <w:t xml:space="preserve">13.3. Programa de protección y conservación de la cuenca y zonas de recarga</w:t>
      </w:r>
    </w:p>
    <w:p>
      <w:pPr>
        <w:spacing w:after="160" w:line="320"/>
        <w:jc w:val="both"/>
      </w:pPr>
      <w:r>
        <w:rPr>
          <w:sz w:val="22"/>
          <w:szCs w:val="22"/>
        </w:rPr>
        <w:t xml:space="preserve">La fuente de abastecimiento del proyecto es un acuífero explotado mediante pozo profundo ubicado en la vereda Aguas Claras, Sabana de Torres, en el contexto hidrogeológico del Magdalena Medio santandereano. La sostenibilidad a largo plazo del caudal concesionado depende de la preservación de las zonas de infiltración y recarga del acuífero en el entorno inmediato del predio. Adicionalmente, el punto 17 del levantamiento de campo indica que debe realizarse el análisis de restricciones ambientales del estudio de factibilidad para validar la ausencia de áreas protegidas en el área de influencia del pozo. Este programa responde a dicho requerimiento y complementa las acciones de protección necesarias para garantizar la calidad y cantidad del recurso en el tiempo.</w:t>
      </w:r>
    </w:p>
    <w:p>
      <w:pPr>
        <w:pStyle w:val="ListParagraph"/>
        <w:numPr>
          <w:ilvl w:val="0"/>
          <w:numId w:val="1"/>
        </w:numPr>
        <w:spacing w:after="100" w:line="300"/>
        <w:jc w:val="both"/>
      </w:pPr>
      <w:r>
        <w:rPr>
          <w:sz w:val="22"/>
          <w:szCs w:val="22"/>
        </w:rPr>
        <w:t xml:space="preserve">Objetivo: Proteger la zona de recarga del acuífero explotado y prevenir actividades que comprometan la cantidad y calidad del agua subterránea captada.</w:t>
      </w:r>
    </w:p>
    <w:p>
      <w:pPr>
        <w:pStyle w:val="ListParagraph"/>
        <w:numPr>
          <w:ilvl w:val="0"/>
          <w:numId w:val="1"/>
        </w:numPr>
        <w:spacing w:after="100" w:line="300"/>
        <w:jc w:val="both"/>
      </w:pPr>
      <w:r>
        <w:rPr>
          <w:sz w:val="22"/>
          <w:szCs w:val="22"/>
        </w:rPr>
        <w:t xml:space="preserve">Meta 1: Delimitar y señalizar el área de protección del pozo profundo en un radio mínimo de 30 metros durante el primer año.</w:t>
      </w:r>
    </w:p>
    <w:p>
      <w:pPr>
        <w:pStyle w:val="ListParagraph"/>
        <w:numPr>
          <w:ilvl w:val="0"/>
          <w:numId w:val="1"/>
        </w:numPr>
        <w:spacing w:after="100" w:line="300"/>
        <w:jc w:val="both"/>
      </w:pPr>
      <w:r>
        <w:rPr>
          <w:sz w:val="22"/>
          <w:szCs w:val="22"/>
        </w:rPr>
        <w:t xml:space="preserve">Meta 2: Mantener la cobertura vegetal nativa en la zona de recarga identificada, sin reducción de área, durante los cinco años de vigencia del PUEAA.</w:t>
      </w:r>
    </w:p>
    <w:p>
      <w:pPr>
        <w:pStyle w:val="ListParagraph"/>
        <w:numPr>
          <w:ilvl w:val="0"/>
          <w:numId w:val="1"/>
        </w:numPr>
        <w:spacing w:after="100" w:line="300"/>
        <w:jc w:val="both"/>
      </w:pPr>
      <w:r>
        <w:rPr>
          <w:sz w:val="22"/>
          <w:szCs w:val="22"/>
        </w:rPr>
        <w:t xml:space="preserve">Meta 3: Presentar a la CAS, en el primer informe de seguimiento, el análisis de restricciones ambientales que valide la ausencia de traslape con áreas protegidas del Sistema Nacional de Áreas Protegidas (SINAP).</w:t>
      </w:r>
    </w:p>
    <w:p>
      <w:pPr>
        <w:spacing w:after="160" w:line="320"/>
        <w:jc w:val="both"/>
      </w:pPr>
      <w:r>
        <w:rPr>
          <w:sz w:val="22"/>
          <w:szCs w:val="22"/>
        </w:rPr>
        <w:t xml:space="preserve">Las actividades del programa comprenden: delimitación física de la zona de protección del pozo mediante cerca perimetral o demarcación visible que impida el acceso de maquinaria y animales; análisis cartográfico en SIG de las áreas protegidas declaradas a escala nacional, regional y local, cotejado con la localización del pozo, para dar respuesta formal al requerimiento identificado en el levantamiento de campo; y formulación de un protocolo de manejo del suelo en el área de recarga que restrinja la aplicación de agroquímicos y el vertimiento de efluentes en las inmediaciones del pozo. El reservorio de aguas lluvias existente en el predio se reconoce como un elemento complementario que reduce la presión de extracción sobre el acuífero; su mantenimiento se integra a este programa como medida de conservación del balance hídrico del ecosistema local.</w:t>
      </w:r>
    </w:p>
    <w:p>
      <w:pPr>
        <w:spacing w:after="90" w:before="220"/>
        <w:jc w:val="center"/>
      </w:pPr>
      <w:r>
        <w:rPr>
          <w:b/>
          <w:bCs/>
          <w:sz w:val="20"/>
          <w:szCs w:val="20"/>
        </w:rPr>
        <w:t xml:space="preserve">Tabla 22. Presupuesto estimado — Programa 13.3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Valor unitario (COP)</w:t>
            </w:r>
          </w:p>
        </w:tc>
        <w:tc>
          <w:tcPr>
            <w:shd w:fill="4A9D8E" w:val="clear"/>
          </w:tcPr>
          <w:p>
            <w:pPr>
              <w:spacing w:after="50" w:before="50"/>
              <w:jc w:val="center"/>
            </w:pPr>
            <w:r>
              <w:rPr>
                <w:b/>
                <w:bCs/>
                <w:color w:val="FFFFFF"/>
                <w:sz w:val="20"/>
                <w:szCs w:val="20"/>
              </w:rPr>
              <w:t xml:space="preserve">Valor total (COP)</w:t>
            </w:r>
          </w:p>
        </w:tc>
      </w:tr>
      <w:tr>
        <w:tc>
          <w:tcPr>
            <w:shd w:fill="F1F8F6" w:val="clear"/>
          </w:tcPr>
          <w:p>
            <w:pPr>
              <w:spacing w:after="50" w:before="50"/>
              <w:jc w:val="left"/>
            </w:pPr>
            <w:r>
              <w:rPr>
                <w:sz w:val="20"/>
                <w:szCs w:val="20"/>
              </w:rPr>
              <w:t xml:space="preserve">Demarcación y señalización zona de protección del pozo</w:t>
            </w:r>
          </w:p>
        </w:tc>
        <w:tc>
          <w:tcPr>
            <w:shd w:fill="F1F8F6" w:val="clear"/>
          </w:tcPr>
          <w:p>
            <w:pPr>
              <w:spacing w:after="50" w:before="50"/>
              <w:jc w:val="left"/>
            </w:pPr>
            <w:r>
              <w:rPr>
                <w:sz w:val="20"/>
                <w:szCs w:val="20"/>
              </w:rPr>
              <w:t xml:space="preserve">Global</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600.000</w:t>
            </w:r>
          </w:p>
        </w:tc>
        <w:tc>
          <w:tcPr>
            <w:shd w:fill="F1F8F6" w:val="clear"/>
          </w:tcPr>
          <w:p>
            <w:pPr>
              <w:spacing w:after="50" w:before="50"/>
              <w:jc w:val="left"/>
            </w:pPr>
            <w:r>
              <w:rPr>
                <w:sz w:val="20"/>
                <w:szCs w:val="20"/>
              </w:rPr>
              <w:t xml:space="preserve">600.000</w:t>
            </w:r>
          </w:p>
        </w:tc>
      </w:tr>
      <w:tr>
        <w:tc>
          <w:tcPr>
            <w:shd w:fill="FFFFFF" w:val="clear"/>
          </w:tcPr>
          <w:p>
            <w:pPr>
              <w:spacing w:after="50" w:before="50"/>
              <w:jc w:val="left"/>
            </w:pPr>
            <w:r>
              <w:rPr>
                <w:sz w:val="20"/>
                <w:szCs w:val="20"/>
              </w:rPr>
              <w:t xml:space="preserve">Análisis SIG restricciones ambientales (consultoría)</w:t>
            </w:r>
          </w:p>
        </w:tc>
        <w:tc>
          <w:tcPr>
            <w:shd w:fill="FFFFFF" w:val="clear"/>
          </w:tcPr>
          <w:p>
            <w:pPr>
              <w:spacing w:after="50" w:before="50"/>
              <w:jc w:val="left"/>
            </w:pPr>
            <w:r>
              <w:rPr>
                <w:sz w:val="20"/>
                <w:szCs w:val="20"/>
              </w:rPr>
              <w:t xml:space="preserve">Global</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1.200.000</w:t>
            </w:r>
          </w:p>
        </w:tc>
        <w:tc>
          <w:tcPr>
            <w:shd w:fill="FFFFFF" w:val="clear"/>
          </w:tcPr>
          <w:p>
            <w:pPr>
              <w:spacing w:after="50" w:before="50"/>
              <w:jc w:val="left"/>
            </w:pPr>
            <w:r>
              <w:rPr>
                <w:sz w:val="20"/>
                <w:szCs w:val="20"/>
              </w:rPr>
              <w:t xml:space="preserve">1.200.000</w:t>
            </w:r>
          </w:p>
        </w:tc>
      </w:tr>
      <w:tr>
        <w:tc>
          <w:tcPr>
            <w:shd w:fill="F1F8F6" w:val="clear"/>
          </w:tcPr>
          <w:p>
            <w:pPr>
              <w:spacing w:after="50" w:before="50"/>
              <w:jc w:val="left"/>
            </w:pPr>
            <w:r>
              <w:rPr>
                <w:sz w:val="20"/>
                <w:szCs w:val="20"/>
              </w:rPr>
              <w:t xml:space="preserve">Protocolo de manejo del suelo en zona de recarga</w:t>
            </w:r>
          </w:p>
        </w:tc>
        <w:tc>
          <w:tcPr>
            <w:shd w:fill="F1F8F6" w:val="clear"/>
          </w:tcPr>
          <w:p>
            <w:pPr>
              <w:spacing w:after="50" w:before="50"/>
              <w:jc w:val="left"/>
            </w:pPr>
            <w:r>
              <w:rPr>
                <w:sz w:val="20"/>
                <w:szCs w:val="20"/>
              </w:rPr>
              <w:t xml:space="preserve">Global</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400.000</w:t>
            </w:r>
          </w:p>
        </w:tc>
        <w:tc>
          <w:tcPr>
            <w:shd w:fill="F1F8F6" w:val="clear"/>
          </w:tcPr>
          <w:p>
            <w:pPr>
              <w:spacing w:after="50" w:before="50"/>
              <w:jc w:val="left"/>
            </w:pPr>
            <w:r>
              <w:rPr>
                <w:sz w:val="20"/>
                <w:szCs w:val="20"/>
              </w:rPr>
              <w:t xml:space="preserve">400.000</w:t>
            </w:r>
          </w:p>
        </w:tc>
      </w:tr>
      <w:tr>
        <w:tc>
          <w:tcPr>
            <w:shd w:fill="FFFFFF" w:val="clear"/>
          </w:tcPr>
          <w:p>
            <w:pPr>
              <w:spacing w:after="50" w:before="50"/>
              <w:jc w:val="left"/>
            </w:pPr>
            <w:r>
              <w:rPr>
                <w:sz w:val="20"/>
                <w:szCs w:val="20"/>
              </w:rPr>
              <w:t xml:space="preserve">Mantenimiento del reservorio de aguas lluvias</w:t>
            </w:r>
          </w:p>
        </w:tc>
        <w:tc>
          <w:tcPr>
            <w:shd w:fill="FFFFFF" w:val="clear"/>
          </w:tcPr>
          <w:p>
            <w:pPr>
              <w:spacing w:after="50" w:before="50"/>
              <w:jc w:val="left"/>
            </w:pPr>
            <w:r>
              <w:rPr>
                <w:sz w:val="20"/>
                <w:szCs w:val="20"/>
              </w:rPr>
              <w:t xml:space="preserve">Visita/año</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350.000</w:t>
            </w:r>
          </w:p>
        </w:tc>
        <w:tc>
          <w:tcPr>
            <w:shd w:fill="FFFFFF" w:val="clear"/>
          </w:tcPr>
          <w:p>
            <w:pPr>
              <w:spacing w:after="50" w:before="50"/>
              <w:jc w:val="left"/>
            </w:pPr>
            <w:r>
              <w:rPr>
                <w:sz w:val="20"/>
                <w:szCs w:val="20"/>
              </w:rPr>
              <w:t xml:space="preserve">350.000</w:t>
            </w:r>
          </w:p>
        </w:tc>
      </w:tr>
      <w:tr>
        <w:tc>
          <w:tcPr>
            <w:shd w:fill="F1F8F6" w:val="clear"/>
          </w:tcPr>
          <w:p>
            <w:pPr>
              <w:spacing w:after="50" w:before="50"/>
              <w:jc w:val="left"/>
            </w:pPr>
            <w:r>
              <w:rPr>
                <w:sz w:val="20"/>
                <w:szCs w:val="20"/>
              </w:rPr>
              <w:t xml:space="preserve">Monitoreo anual de cobertura vegetal (registro fotográfico)</w:t>
            </w:r>
          </w:p>
        </w:tc>
        <w:tc>
          <w:tcPr>
            <w:shd w:fill="F1F8F6" w:val="clear"/>
          </w:tcPr>
          <w:p>
            <w:pPr>
              <w:spacing w:after="50" w:before="50"/>
              <w:jc w:val="left"/>
            </w:pPr>
            <w:r>
              <w:rPr>
                <w:sz w:val="20"/>
                <w:szCs w:val="20"/>
              </w:rPr>
              <w:t xml:space="preserve">Global/año</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200.000</w:t>
            </w:r>
          </w:p>
        </w:tc>
        <w:tc>
          <w:tcPr>
            <w:shd w:fill="F1F8F6" w:val="clear"/>
          </w:tcPr>
          <w:p>
            <w:pPr>
              <w:spacing w:after="50" w:before="50"/>
              <w:jc w:val="left"/>
            </w:pPr>
            <w:r>
              <w:rPr>
                <w:sz w:val="20"/>
                <w:szCs w:val="20"/>
              </w:rPr>
              <w:t xml:space="preserve">200.000</w:t>
            </w:r>
          </w:p>
        </w:tc>
      </w:tr>
      <w:tr>
        <w:tc>
          <w:tcPr>
            <w:shd w:fill="FFFFFF" w:val="clear"/>
          </w:tcPr>
          <w:p>
            <w:pPr>
              <w:spacing w:after="50" w:before="50"/>
              <w:jc w:val="left"/>
            </w:pPr>
            <w:r>
              <w:rPr>
                <w:sz w:val="20"/>
                <w:szCs w:val="20"/>
              </w:rPr>
              <w:t xml:space="preserve">Total año 1</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2.750.000</w:t>
            </w:r>
          </w:p>
        </w:tc>
      </w:tr>
      <w:tr>
        <w:tc>
          <w:tcPr>
            <w:shd w:fill="F1F8F6" w:val="clear"/>
          </w:tcPr>
          <w:p>
            <w:pPr>
              <w:spacing w:after="50" w:before="50"/>
              <w:jc w:val="left"/>
            </w:pPr>
            <w:r>
              <w:rPr>
                <w:sz w:val="20"/>
                <w:szCs w:val="20"/>
              </w:rPr>
              <w:t xml:space="preserve">Mantenimiento años 2-5</w:t>
            </w:r>
          </w:p>
        </w:tc>
        <w:tc>
          <w:tcPr>
            <w:shd w:fill="F1F8F6" w:val="clear"/>
          </w:tcPr>
          <w:p>
            <w:pPr>
              <w:spacing w:after="50" w:before="50"/>
              <w:jc w:val="left"/>
            </w:pPr>
            <w:r>
              <w:rPr>
                <w:sz w:val="20"/>
                <w:szCs w:val="20"/>
              </w:rPr>
              <w:t xml:space="preserve">Global/año</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550.000</w:t>
            </w:r>
          </w:p>
        </w:tc>
        <w:tc>
          <w:tcPr>
            <w:shd w:fill="F1F8F6" w:val="clear"/>
          </w:tcPr>
          <w:p>
            <w:pPr>
              <w:spacing w:after="50" w:before="50"/>
              <w:jc w:val="left"/>
            </w:pPr>
            <w:r>
              <w:rPr>
                <w:sz w:val="20"/>
                <w:szCs w:val="20"/>
              </w:rPr>
              <w:t xml:space="preserve">550.000/año</w:t>
            </w:r>
          </w:p>
        </w:tc>
      </w:tr>
    </w:tbl>
    <w:p>
      <w:pPr>
        <w:spacing w:after="180" w:before="60"/>
        <w:jc w:val="left"/>
      </w:pPr>
      <w:r>
        <w:rPr>
          <w:i/>
          <w:iCs/>
          <w:color w:val="777777"/>
          <w:sz w:val="16"/>
          <w:szCs w:val="16"/>
        </w:rPr>
        <w:t xml:space="preserve">Fuente. Estimación propia con base en precios de referencia para el departamento de Santander, año 2024.</w:t>
      </w:r>
    </w:p>
    <w:p>
      <w:pPr>
        <w:spacing w:after="90" w:before="220"/>
        <w:jc w:val="center"/>
      </w:pPr>
      <w:r>
        <w:rPr>
          <w:b/>
          <w:bCs/>
          <w:sz w:val="20"/>
          <w:szCs w:val="20"/>
        </w:rPr>
        <w:t xml:space="preserve">Tabla 23. Cronograma — Programa 13.3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Corto plazo (Año 1)</w:t>
            </w:r>
          </w:p>
        </w:tc>
        <w:tc>
          <w:tcPr>
            <w:shd w:fill="4A9D8E" w:val="clear"/>
          </w:tcPr>
          <w:p>
            <w:pPr>
              <w:spacing w:after="50" w:before="50"/>
              <w:jc w:val="center"/>
            </w:pPr>
            <w:r>
              <w:rPr>
                <w:b/>
                <w:bCs/>
                <w:color w:val="FFFFFF"/>
                <w:sz w:val="20"/>
                <w:szCs w:val="20"/>
              </w:rPr>
              <w:t xml:space="preserve">Mediano plazo (Años 2-3)</w:t>
            </w:r>
          </w:p>
        </w:tc>
        <w:tc>
          <w:tcPr>
            <w:shd w:fill="4A9D8E" w:val="clear"/>
          </w:tcPr>
          <w:p>
            <w:pPr>
              <w:spacing w:after="50" w:before="50"/>
              <w:jc w:val="center"/>
            </w:pPr>
            <w:r>
              <w:rPr>
                <w:b/>
                <w:bCs/>
                <w:color w:val="FFFFFF"/>
                <w:sz w:val="20"/>
                <w:szCs w:val="20"/>
              </w:rPr>
              <w:t xml:space="preserve">Largo plazo (Años 4-5)</w:t>
            </w:r>
          </w:p>
        </w:tc>
      </w:tr>
      <w:tr>
        <w:tc>
          <w:tcPr>
            <w:shd w:fill="F1F8F6" w:val="clear"/>
          </w:tcPr>
          <w:p>
            <w:pPr>
              <w:spacing w:after="50" w:before="50"/>
              <w:jc w:val="left"/>
            </w:pPr>
            <w:r>
              <w:rPr>
                <w:sz w:val="20"/>
                <w:szCs w:val="20"/>
              </w:rPr>
              <w:t xml:space="preserve">Demarcación zona de protección del pozo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Análisis SIG de restricciones ambientales</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r>
      <w:tr>
        <w:tc>
          <w:tcPr>
            <w:shd w:fill="F1F8F6" w:val="clear"/>
          </w:tcPr>
          <w:p>
            <w:pPr>
              <w:spacing w:after="50" w:before="50"/>
              <w:jc w:val="left"/>
            </w:pPr>
            <w:r>
              <w:rPr>
                <w:sz w:val="20"/>
                <w:szCs w:val="20"/>
              </w:rPr>
              <w:t xml:space="preserve">Elaboración protocolo de manejo del suelo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Mantenimiento reservorio de aguas lluvias</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r>
        <w:tc>
          <w:tcPr>
            <w:shd w:fill="F1F8F6" w:val="clear"/>
          </w:tcPr>
          <w:p>
            <w:pPr>
              <w:spacing w:after="50" w:before="50"/>
              <w:jc w:val="left"/>
            </w:pPr>
            <w:r>
              <w:rPr>
                <w:sz w:val="20"/>
                <w:szCs w:val="20"/>
              </w:rPr>
              <w:t xml:space="preserve">Monitoreo de cobertura vegetal en zona de recarga</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r>
      <w:tr>
        <w:tc>
          <w:tcPr>
            <w:shd w:fill="FFFFFF" w:val="clear"/>
          </w:tcPr>
          <w:p>
            <w:pPr>
              <w:spacing w:after="50" w:before="50"/>
              <w:jc w:val="left"/>
            </w:pPr>
            <w:r>
              <w:rPr>
                <w:sz w:val="20"/>
                <w:szCs w:val="20"/>
              </w:rPr>
              <w:t xml:space="preserve">Revisión y actualización del protocolo de manejo</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bl>
    <w:p>
      <w:pPr>
        <w:spacing w:after="180" w:before="60"/>
        <w:jc w:val="left"/>
      </w:pPr>
      <w:r>
        <w:rPr>
          <w:i/>
          <w:iCs/>
          <w:color w:val="777777"/>
          <w:sz w:val="16"/>
          <w:szCs w:val="16"/>
        </w:rPr>
        <w:t xml:space="preserve">Fuente. Formulación propia PUEAA — Granja Avícola Jamaica.</w:t>
      </w:r>
    </w:p>
    <w:p>
      <w:pPr>
        <w:pStyle w:val="Heading2"/>
        <w:spacing w:after="140" w:before="240"/>
      </w:pPr>
      <w:r>
        <w:rPr>
          <w:b/>
          <w:bCs/>
          <w:color w:val="4A9D8E"/>
          <w:sz w:val="24"/>
          <w:szCs w:val="24"/>
        </w:rPr>
        <w:t xml:space="preserve">13.4. Programa de medición, monitoreo y reúso del recurso hídrico</w:t>
      </w:r>
    </w:p>
    <w:p>
      <w:pPr>
        <w:spacing w:after="160" w:line="320"/>
        <w:jc w:val="both"/>
      </w:pPr>
      <w:r>
        <w:rPr>
          <w:sz w:val="22"/>
          <w:szCs w:val="22"/>
        </w:rPr>
        <w:t xml:space="preserve">La granja cuenta con medidor de caudal instalado en el punto de captación del pozo profundo y en el reservorio de aguas lluvias, condición que otorga al proyecto una base instrumental para implementar un sistema robusto de monitoreo hídrico. Este programa formaliza los procedimientos de lectura, registro, análisis y reporte de los consumos reales, articulando los cuatro usos concesionados: abastecimiento pecuario de las aves (4,064 L/s), consumo humano del personal (0,068 L/s), túnel de desinfección (0,059 L/s) y arco de desinfección vehicular (0,028 L/s). El seguimiento sistemático de estos consumos permite verificar el cumplimiento del caudal total concesionado de 4,219 L/s y sustentar con datos los informes de seguimiento exigidos por la CAS.</w:t>
      </w:r>
    </w:p>
    <w:p>
      <w:pPr>
        <w:pStyle w:val="ListParagraph"/>
        <w:numPr>
          <w:ilvl w:val="0"/>
          <w:numId w:val="1"/>
        </w:numPr>
        <w:spacing w:after="100" w:line="300"/>
        <w:jc w:val="both"/>
      </w:pPr>
      <w:r>
        <w:rPr>
          <w:sz w:val="22"/>
          <w:szCs w:val="22"/>
        </w:rPr>
        <w:t xml:space="preserve">Objetivo: Implementar un sistema continuo de medición y registro del consumo hídrico por uso, que permita verificar la eficiencia del aprovechamiento y sustentar el reporte periódico ante la autoridad ambiental.</w:t>
      </w:r>
    </w:p>
    <w:p>
      <w:pPr>
        <w:pStyle w:val="ListParagraph"/>
        <w:numPr>
          <w:ilvl w:val="0"/>
          <w:numId w:val="1"/>
        </w:numPr>
        <w:spacing w:after="100" w:line="300"/>
        <w:jc w:val="both"/>
      </w:pPr>
      <w:r>
        <w:rPr>
          <w:sz w:val="22"/>
          <w:szCs w:val="22"/>
        </w:rPr>
        <w:t xml:space="preserve">Meta 1: Mantener en operación continua el medidor del pozo profundo y el del reservorio durante los cinco años de vigencia del PUEAA, con registro mensual sin interrupciones.</w:t>
      </w:r>
    </w:p>
    <w:p>
      <w:pPr>
        <w:pStyle w:val="ListParagraph"/>
        <w:numPr>
          <w:ilvl w:val="0"/>
          <w:numId w:val="1"/>
        </w:numPr>
        <w:spacing w:after="100" w:line="300"/>
        <w:jc w:val="both"/>
      </w:pPr>
      <w:r>
        <w:rPr>
          <w:sz w:val="22"/>
          <w:szCs w:val="22"/>
        </w:rPr>
        <w:t xml:space="preserve">Meta 2: Presentar ante la CAS informes semestrales de seguimiento del PUEAA con los registros de consumo discriminados por uso, a partir del sexto mes de vigencia de la concesión.</w:t>
      </w:r>
    </w:p>
    <w:p>
      <w:pPr>
        <w:pStyle w:val="ListParagraph"/>
        <w:numPr>
          <w:ilvl w:val="0"/>
          <w:numId w:val="1"/>
        </w:numPr>
        <w:spacing w:after="100" w:line="300"/>
        <w:jc w:val="both"/>
      </w:pPr>
      <w:r>
        <w:rPr>
          <w:sz w:val="22"/>
          <w:szCs w:val="22"/>
        </w:rPr>
        <w:t xml:space="preserve">Meta 3: Evaluar la viabilidad técnica del reúso del agua proveniente del reservorio de aguas lluvias para suplir parcialmente los usos de desinfección, antes de concluir el segundo año.</w:t>
      </w:r>
    </w:p>
    <w:p>
      <w:pPr>
        <w:spacing w:after="160" w:line="320"/>
        <w:jc w:val="both"/>
      </w:pPr>
      <w:r>
        <w:rPr>
          <w:sz w:val="22"/>
          <w:szCs w:val="22"/>
        </w:rPr>
        <w:t xml:space="preserve">Las actividades del programa contemplan: establecimiento de un protocolo de lectura mensual del medidor del pozo con registro en formato estandarizado que consigne fecha, caudal instantáneo, volumen acumulado y observaciones de operación; calibración anual del medidor por parte de un técnico certificado; elaboración de una planilla de consumo desagregada por uso, que compare el volumen registrado frente a los volúmenes máximos autorizados por uso y detecte desviaciones superiores al 5 %; y análisis semestral de los datos para alimentar el informe de seguimiento del PUEAA. En cuanto al reúso, el reservorio de aguas lluvias existente representa una oportunidad concreta para reducir la extracción del acuífero: el programa establece una evaluación técnica de la calidad del agua almacenada y su idoneidad para los procesos de desinfección, cuyo resultado orientará la decisión de integración operativa de ambas fuentes.</w:t>
      </w:r>
    </w:p>
    <w:p>
      <w:pPr>
        <w:spacing w:after="90" w:before="220"/>
        <w:jc w:val="center"/>
      </w:pPr>
      <w:r>
        <w:rPr>
          <w:b/>
          <w:bCs/>
          <w:sz w:val="20"/>
          <w:szCs w:val="20"/>
        </w:rPr>
        <w:t xml:space="preserve">Tabla 24. Indicadores de seguimiento — Programa 13.4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Indicador</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Frecuencia de medición</w:t>
            </w:r>
          </w:p>
        </w:tc>
        <w:tc>
          <w:tcPr>
            <w:shd w:fill="4A9D8E" w:val="clear"/>
          </w:tcPr>
          <w:p>
            <w:pPr>
              <w:spacing w:after="50" w:before="50"/>
              <w:jc w:val="center"/>
            </w:pPr>
            <w:r>
              <w:rPr>
                <w:b/>
                <w:bCs/>
                <w:color w:val="FFFFFF"/>
                <w:sz w:val="20"/>
                <w:szCs w:val="20"/>
              </w:rPr>
              <w:t xml:space="preserve">Valor de referencia</w:t>
            </w:r>
          </w:p>
        </w:tc>
        <w:tc>
          <w:tcPr>
            <w:shd w:fill="4A9D8E" w:val="clear"/>
          </w:tcPr>
          <w:p>
            <w:pPr>
              <w:spacing w:after="50" w:before="50"/>
              <w:jc w:val="center"/>
            </w:pPr>
            <w:r>
              <w:rPr>
                <w:b/>
                <w:bCs/>
                <w:color w:val="FFFFFF"/>
                <w:sz w:val="20"/>
                <w:szCs w:val="20"/>
              </w:rPr>
              <w:t xml:space="preserve">Responsable</w:t>
            </w:r>
          </w:p>
        </w:tc>
      </w:tr>
      <w:tr>
        <w:tc>
          <w:tcPr>
            <w:shd w:fill="F1F8F6" w:val="clear"/>
          </w:tcPr>
          <w:p>
            <w:pPr>
              <w:spacing w:after="50" w:before="50"/>
              <w:jc w:val="left"/>
            </w:pPr>
            <w:r>
              <w:rPr>
                <w:sz w:val="20"/>
                <w:szCs w:val="20"/>
              </w:rPr>
              <w:t xml:space="preserve">Caudal captado del pozo</w:t>
            </w:r>
          </w:p>
        </w:tc>
        <w:tc>
          <w:tcPr>
            <w:shd w:fill="F1F8F6" w:val="clear"/>
          </w:tcPr>
          <w:p>
            <w:pPr>
              <w:spacing w:after="50" w:before="50"/>
              <w:jc w:val="left"/>
            </w:pPr>
            <w:r>
              <w:rPr>
                <w:sz w:val="20"/>
                <w:szCs w:val="20"/>
              </w:rPr>
              <w:t xml:space="preserve">L/s</w:t>
            </w:r>
          </w:p>
        </w:tc>
        <w:tc>
          <w:tcPr>
            <w:shd w:fill="F1F8F6" w:val="clear"/>
          </w:tcPr>
          <w:p>
            <w:pPr>
              <w:spacing w:after="50" w:before="50"/>
              <w:jc w:val="left"/>
            </w:pPr>
            <w:r>
              <w:rPr>
                <w:sz w:val="20"/>
                <w:szCs w:val="20"/>
              </w:rPr>
              <w:t xml:space="preserve">Mensual</w:t>
            </w:r>
          </w:p>
        </w:tc>
        <w:tc>
          <w:tcPr>
            <w:shd w:fill="F1F8F6" w:val="clear"/>
          </w:tcPr>
          <w:p>
            <w:pPr>
              <w:spacing w:after="50" w:before="50"/>
              <w:jc w:val="left"/>
            </w:pPr>
            <w:r>
              <w:rPr>
                <w:sz w:val="20"/>
                <w:szCs w:val="20"/>
              </w:rPr>
              <w:t xml:space="preserve">≤ 4,219 L/s</w:t>
            </w:r>
          </w:p>
        </w:tc>
        <w:tc>
          <w:tcPr>
            <w:shd w:fill="F1F8F6" w:val="clear"/>
          </w:tcPr>
          <w:p>
            <w:pPr>
              <w:spacing w:after="50" w:before="50"/>
              <w:jc w:val="left"/>
            </w:pPr>
            <w:r>
              <w:rPr>
                <w:sz w:val="20"/>
                <w:szCs w:val="20"/>
              </w:rPr>
              <w:t xml:space="preserve">Operador de la granja</w:t>
            </w:r>
          </w:p>
        </w:tc>
      </w:tr>
      <w:tr>
        <w:tc>
          <w:tcPr>
            <w:shd w:fill="FFFFFF" w:val="clear"/>
          </w:tcPr>
          <w:p>
            <w:pPr>
              <w:spacing w:after="50" w:before="50"/>
              <w:jc w:val="left"/>
            </w:pPr>
            <w:r>
              <w:rPr>
                <w:sz w:val="20"/>
                <w:szCs w:val="20"/>
              </w:rPr>
              <w:t xml:space="preserve">Volumen mensual captado del pozo</w:t>
            </w:r>
          </w:p>
        </w:tc>
        <w:tc>
          <w:tcPr>
            <w:shd w:fill="FFFFFF" w:val="clear"/>
          </w:tcPr>
          <w:p>
            <w:pPr>
              <w:spacing w:after="50" w:before="50"/>
              <w:jc w:val="left"/>
            </w:pPr>
            <w:r>
              <w:rPr>
                <w:sz w:val="20"/>
                <w:szCs w:val="20"/>
              </w:rPr>
              <w:t xml:space="preserve">m³/mes</w:t>
            </w:r>
          </w:p>
        </w:tc>
        <w:tc>
          <w:tcPr>
            <w:shd w:fill="FFFFFF" w:val="clear"/>
          </w:tcPr>
          <w:p>
            <w:pPr>
              <w:spacing w:after="50" w:before="50"/>
              <w:jc w:val="left"/>
            </w:pPr>
            <w:r>
              <w:rPr>
                <w:sz w:val="20"/>
                <w:szCs w:val="20"/>
              </w:rPr>
              <w:t xml:space="preserve">Mensual</w:t>
            </w:r>
          </w:p>
        </w:tc>
        <w:tc>
          <w:tcPr>
            <w:shd w:fill="FFFFFF" w:val="clear"/>
          </w:tcPr>
          <w:p>
            <w:pPr>
              <w:spacing w:after="50" w:before="50"/>
              <w:jc w:val="left"/>
            </w:pPr>
            <w:r>
              <w:rPr>
                <w:sz w:val="20"/>
                <w:szCs w:val="20"/>
              </w:rPr>
              <w:t xml:space="preserve">≤ 1.091 m³/mes (estimado)</w:t>
            </w:r>
          </w:p>
        </w:tc>
        <w:tc>
          <w:tcPr>
            <w:shd w:fill="FFFFFF" w:val="clear"/>
          </w:tcPr>
          <w:p>
            <w:pPr>
              <w:spacing w:after="50" w:before="50"/>
              <w:jc w:val="left"/>
            </w:pPr>
            <w:r>
              <w:rPr>
                <w:sz w:val="20"/>
                <w:szCs w:val="20"/>
              </w:rPr>
              <w:t xml:space="preserve">Operador de la granja</w:t>
            </w:r>
          </w:p>
        </w:tc>
      </w:tr>
      <w:tr>
        <w:tc>
          <w:tcPr>
            <w:shd w:fill="F1F8F6" w:val="clear"/>
          </w:tcPr>
          <w:p>
            <w:pPr>
              <w:spacing w:after="50" w:before="50"/>
              <w:jc w:val="left"/>
            </w:pPr>
            <w:r>
              <w:rPr>
                <w:sz w:val="20"/>
                <w:szCs w:val="20"/>
              </w:rPr>
              <w:t xml:space="preserve">Volumen captado del reservorio</w:t>
            </w:r>
          </w:p>
        </w:tc>
        <w:tc>
          <w:tcPr>
            <w:shd w:fill="F1F8F6" w:val="clear"/>
          </w:tcPr>
          <w:p>
            <w:pPr>
              <w:spacing w:after="50" w:before="50"/>
              <w:jc w:val="left"/>
            </w:pPr>
            <w:r>
              <w:rPr>
                <w:sz w:val="20"/>
                <w:szCs w:val="20"/>
              </w:rPr>
              <w:t xml:space="preserve">m³/mes</w:t>
            </w:r>
          </w:p>
        </w:tc>
        <w:tc>
          <w:tcPr>
            <w:shd w:fill="F1F8F6" w:val="clear"/>
          </w:tcPr>
          <w:p>
            <w:pPr>
              <w:spacing w:after="50" w:before="50"/>
              <w:jc w:val="left"/>
            </w:pPr>
            <w:r>
              <w:rPr>
                <w:sz w:val="20"/>
                <w:szCs w:val="20"/>
              </w:rPr>
              <w:t xml:space="preserve">Mensual</w:t>
            </w:r>
          </w:p>
        </w:tc>
        <w:tc>
          <w:tcPr>
            <w:shd w:fill="F1F8F6" w:val="clear"/>
          </w:tcPr>
          <w:p>
            <w:pPr>
              <w:spacing w:after="50" w:before="50"/>
              <w:jc w:val="left"/>
            </w:pPr>
            <w:r>
              <w:rPr>
                <w:sz w:val="20"/>
                <w:szCs w:val="20"/>
              </w:rPr>
              <w:t xml:space="preserve">Registro histórico</w:t>
            </w:r>
          </w:p>
        </w:tc>
        <w:tc>
          <w:tcPr>
            <w:shd w:fill="F1F8F6" w:val="clear"/>
          </w:tcPr>
          <w:p>
            <w:pPr>
              <w:spacing w:after="50" w:before="50"/>
              <w:jc w:val="left"/>
            </w:pPr>
            <w:r>
              <w:rPr>
                <w:sz w:val="20"/>
                <w:szCs w:val="20"/>
              </w:rPr>
              <w:t xml:space="preserve">Operador de la granja</w:t>
            </w:r>
          </w:p>
        </w:tc>
      </w:tr>
      <w:tr>
        <w:tc>
          <w:tcPr>
            <w:shd w:fill="FFFFFF" w:val="clear"/>
          </w:tcPr>
          <w:p>
            <w:pPr>
              <w:spacing w:after="50" w:before="50"/>
              <w:jc w:val="left"/>
            </w:pPr>
            <w:r>
              <w:rPr>
                <w:sz w:val="20"/>
                <w:szCs w:val="20"/>
              </w:rPr>
              <w:t xml:space="preserve">Días con medidor operativo</w:t>
            </w:r>
          </w:p>
        </w:tc>
        <w:tc>
          <w:tcPr>
            <w:shd w:fill="FFFFFF" w:val="clear"/>
          </w:tcPr>
          <w:p>
            <w:pPr>
              <w:spacing w:after="50" w:before="50"/>
              <w:jc w:val="left"/>
            </w:pPr>
            <w:r>
              <w:rPr>
                <w:sz w:val="20"/>
                <w:szCs w:val="20"/>
              </w:rPr>
              <w:t xml:space="preserve">días/mes</w:t>
            </w:r>
          </w:p>
        </w:tc>
        <w:tc>
          <w:tcPr>
            <w:shd w:fill="FFFFFF" w:val="clear"/>
          </w:tcPr>
          <w:p>
            <w:pPr>
              <w:spacing w:after="50" w:before="50"/>
              <w:jc w:val="left"/>
            </w:pPr>
            <w:r>
              <w:rPr>
                <w:sz w:val="20"/>
                <w:szCs w:val="20"/>
              </w:rPr>
              <w:t xml:space="preserve">Mensual</w:t>
            </w:r>
          </w:p>
        </w:tc>
        <w:tc>
          <w:tcPr>
            <w:shd w:fill="FFFFFF" w:val="clear"/>
          </w:tcPr>
          <w:p>
            <w:pPr>
              <w:spacing w:after="50" w:before="50"/>
              <w:jc w:val="left"/>
            </w:pPr>
            <w:r>
              <w:rPr>
                <w:sz w:val="20"/>
                <w:szCs w:val="20"/>
              </w:rPr>
              <w:t xml:space="preserve">= 100 % de días del período</w:t>
            </w:r>
          </w:p>
        </w:tc>
        <w:tc>
          <w:tcPr>
            <w:shd w:fill="FFFFFF" w:val="clear"/>
          </w:tcPr>
          <w:p>
            <w:pPr>
              <w:spacing w:after="50" w:before="50"/>
              <w:jc w:val="left"/>
            </w:pPr>
            <w:r>
              <w:rPr>
                <w:sz w:val="20"/>
                <w:szCs w:val="20"/>
              </w:rPr>
              <w:t xml:space="preserve">Supervisor técnico</w:t>
            </w:r>
          </w:p>
        </w:tc>
      </w:tr>
      <w:tr>
        <w:tc>
          <w:tcPr>
            <w:shd w:fill="F1F8F6" w:val="clear"/>
          </w:tcPr>
          <w:p>
            <w:pPr>
              <w:spacing w:after="50" w:before="50"/>
              <w:jc w:val="left"/>
            </w:pPr>
            <w:r>
              <w:rPr>
                <w:sz w:val="20"/>
                <w:szCs w:val="20"/>
              </w:rPr>
              <w:t xml:space="preserve">Informes de seguimiento presentados a CAS</w:t>
            </w:r>
          </w:p>
        </w:tc>
        <w:tc>
          <w:tcPr>
            <w:shd w:fill="F1F8F6" w:val="clear"/>
          </w:tcPr>
          <w:p>
            <w:pPr>
              <w:spacing w:after="50" w:before="50"/>
              <w:jc w:val="left"/>
            </w:pPr>
            <w:r>
              <w:rPr>
                <w:sz w:val="20"/>
                <w:szCs w:val="20"/>
              </w:rPr>
              <w:t xml:space="preserve">Informes/año</w:t>
            </w:r>
          </w:p>
        </w:tc>
        <w:tc>
          <w:tcPr>
            <w:shd w:fill="F1F8F6" w:val="clear"/>
          </w:tcPr>
          <w:p>
            <w:pPr>
              <w:spacing w:after="50" w:before="50"/>
              <w:jc w:val="left"/>
            </w:pPr>
            <w:r>
              <w:rPr>
                <w:sz w:val="20"/>
                <w:szCs w:val="20"/>
              </w:rPr>
              <w:t xml:space="preserve">Semestral</w:t>
            </w:r>
          </w:p>
        </w:tc>
        <w:tc>
          <w:tcPr>
            <w:shd w:fill="F1F8F6" w:val="clear"/>
          </w:tcPr>
          <w:p>
            <w:pPr>
              <w:spacing w:after="50" w:before="50"/>
              <w:jc w:val="left"/>
            </w:pPr>
            <w:r>
              <w:rPr>
                <w:sz w:val="20"/>
                <w:szCs w:val="20"/>
              </w:rPr>
              <w:t xml:space="preserve">2 informes/año</w:t>
            </w:r>
          </w:p>
        </w:tc>
        <w:tc>
          <w:tcPr>
            <w:shd w:fill="F1F8F6" w:val="clear"/>
          </w:tcPr>
          <w:p>
            <w:pPr>
              <w:spacing w:after="50" w:before="50"/>
              <w:jc w:val="left"/>
            </w:pPr>
            <w:r>
              <w:rPr>
                <w:sz w:val="20"/>
                <w:szCs w:val="20"/>
              </w:rPr>
              <w:t xml:space="preserve">Representante legal / consultor</w:t>
            </w:r>
          </w:p>
        </w:tc>
      </w:tr>
    </w:tbl>
    <w:p>
      <w:pPr>
        <w:spacing w:after="180" w:before="60"/>
        <w:jc w:val="left"/>
      </w:pPr>
      <w:r>
        <w:rPr>
          <w:i/>
          <w:iCs/>
          <w:color w:val="777777"/>
          <w:sz w:val="16"/>
          <w:szCs w:val="16"/>
        </w:rPr>
        <w:t xml:space="preserve">Fuente. Formulación propia PUEAA — Granja Avícola Jamaica. El volumen mensual se estima sobre la base del caudal concesionado operando 3 horas/día promedio de bombeo.</w:t>
      </w:r>
    </w:p>
    <w:p>
      <w:pPr>
        <w:spacing w:after="90" w:before="220"/>
        <w:jc w:val="center"/>
      </w:pPr>
      <w:r>
        <w:rPr>
          <w:b/>
          <w:bCs/>
          <w:sz w:val="20"/>
          <w:szCs w:val="20"/>
        </w:rPr>
        <w:t xml:space="preserve">Tabla 25. Presupuesto estimado — Programa 13.4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Cantidad</w:t>
            </w:r>
          </w:p>
        </w:tc>
        <w:tc>
          <w:tcPr>
            <w:shd w:fill="4A9D8E" w:val="clear"/>
          </w:tcPr>
          <w:p>
            <w:pPr>
              <w:spacing w:after="50" w:before="50"/>
              <w:jc w:val="center"/>
            </w:pPr>
            <w:r>
              <w:rPr>
                <w:b/>
                <w:bCs/>
                <w:color w:val="FFFFFF"/>
                <w:sz w:val="20"/>
                <w:szCs w:val="20"/>
              </w:rPr>
              <w:t xml:space="preserve">Valor unitario (COP)</w:t>
            </w:r>
          </w:p>
        </w:tc>
        <w:tc>
          <w:tcPr>
            <w:shd w:fill="4A9D8E" w:val="clear"/>
          </w:tcPr>
          <w:p>
            <w:pPr>
              <w:spacing w:after="50" w:before="50"/>
              <w:jc w:val="center"/>
            </w:pPr>
            <w:r>
              <w:rPr>
                <w:b/>
                <w:bCs/>
                <w:color w:val="FFFFFF"/>
                <w:sz w:val="20"/>
                <w:szCs w:val="20"/>
              </w:rPr>
              <w:t xml:space="preserve">Valor total (COP)</w:t>
            </w:r>
          </w:p>
        </w:tc>
      </w:tr>
      <w:tr>
        <w:tc>
          <w:tcPr>
            <w:shd w:fill="F1F8F6" w:val="clear"/>
          </w:tcPr>
          <w:p>
            <w:pPr>
              <w:spacing w:after="50" w:before="50"/>
              <w:jc w:val="left"/>
            </w:pPr>
            <w:r>
              <w:rPr>
                <w:sz w:val="20"/>
                <w:szCs w:val="20"/>
              </w:rPr>
              <w:t xml:space="preserve">Elaboración de protocolos y formatos de registro</w:t>
            </w:r>
          </w:p>
        </w:tc>
        <w:tc>
          <w:tcPr>
            <w:shd w:fill="F1F8F6" w:val="clear"/>
          </w:tcPr>
          <w:p>
            <w:pPr>
              <w:spacing w:after="50" w:before="50"/>
              <w:jc w:val="left"/>
            </w:pPr>
            <w:r>
              <w:rPr>
                <w:sz w:val="20"/>
                <w:szCs w:val="20"/>
              </w:rPr>
              <w:t xml:space="preserve">Global</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300.000</w:t>
            </w:r>
          </w:p>
        </w:tc>
        <w:tc>
          <w:tcPr>
            <w:shd w:fill="F1F8F6" w:val="clear"/>
          </w:tcPr>
          <w:p>
            <w:pPr>
              <w:spacing w:after="50" w:before="50"/>
              <w:jc w:val="left"/>
            </w:pPr>
            <w:r>
              <w:rPr>
                <w:sz w:val="20"/>
                <w:szCs w:val="20"/>
              </w:rPr>
              <w:t xml:space="preserve">300.000</w:t>
            </w:r>
          </w:p>
        </w:tc>
      </w:tr>
      <w:tr>
        <w:tc>
          <w:tcPr>
            <w:shd w:fill="FFFFFF" w:val="clear"/>
          </w:tcPr>
          <w:p>
            <w:pPr>
              <w:spacing w:after="50" w:before="50"/>
              <w:jc w:val="left"/>
            </w:pPr>
            <w:r>
              <w:rPr>
                <w:sz w:val="20"/>
                <w:szCs w:val="20"/>
              </w:rPr>
              <w:t xml:space="preserve">Calibración anual del medidor del pozo</w:t>
            </w:r>
          </w:p>
        </w:tc>
        <w:tc>
          <w:tcPr>
            <w:shd w:fill="FFFFFF" w:val="clear"/>
          </w:tcPr>
          <w:p>
            <w:pPr>
              <w:spacing w:after="50" w:before="50"/>
              <w:jc w:val="left"/>
            </w:pPr>
            <w:r>
              <w:rPr>
                <w:sz w:val="20"/>
                <w:szCs w:val="20"/>
              </w:rPr>
              <w:t xml:space="preserve">Servicio/año</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500.000</w:t>
            </w:r>
          </w:p>
        </w:tc>
        <w:tc>
          <w:tcPr>
            <w:shd w:fill="FFFFFF" w:val="clear"/>
          </w:tcPr>
          <w:p>
            <w:pPr>
              <w:spacing w:after="50" w:before="50"/>
              <w:jc w:val="left"/>
            </w:pPr>
            <w:r>
              <w:rPr>
                <w:sz w:val="20"/>
                <w:szCs w:val="20"/>
              </w:rPr>
              <w:t xml:space="preserve">500.000</w:t>
            </w:r>
          </w:p>
        </w:tc>
      </w:tr>
      <w:tr>
        <w:tc>
          <w:tcPr>
            <w:shd w:fill="F1F8F6" w:val="clear"/>
          </w:tcPr>
          <w:p>
            <w:pPr>
              <w:spacing w:after="50" w:before="50"/>
              <w:jc w:val="left"/>
            </w:pPr>
            <w:r>
              <w:rPr>
                <w:sz w:val="20"/>
                <w:szCs w:val="20"/>
              </w:rPr>
              <w:t xml:space="preserve">Calibración anual del medidor del reservorio</w:t>
            </w:r>
          </w:p>
        </w:tc>
        <w:tc>
          <w:tcPr>
            <w:shd w:fill="F1F8F6" w:val="clear"/>
          </w:tcPr>
          <w:p>
            <w:pPr>
              <w:spacing w:after="50" w:before="50"/>
              <w:jc w:val="left"/>
            </w:pPr>
            <w:r>
              <w:rPr>
                <w:sz w:val="20"/>
                <w:szCs w:val="20"/>
              </w:rPr>
              <w:t xml:space="preserve">Servicio/año</w:t>
            </w:r>
          </w:p>
        </w:tc>
        <w:tc>
          <w:tcPr>
            <w:shd w:fill="F1F8F6" w:val="clear"/>
          </w:tcPr>
          <w:p>
            <w:pPr>
              <w:spacing w:after="50" w:before="50"/>
              <w:jc w:val="left"/>
            </w:pPr>
            <w:r>
              <w:rPr>
                <w:sz w:val="20"/>
                <w:szCs w:val="20"/>
              </w:rPr>
              <w:t xml:space="preserve">1</w:t>
            </w:r>
          </w:p>
        </w:tc>
        <w:tc>
          <w:tcPr>
            <w:shd w:fill="F1F8F6" w:val="clear"/>
          </w:tcPr>
          <w:p>
            <w:pPr>
              <w:spacing w:after="50" w:before="50"/>
              <w:jc w:val="left"/>
            </w:pPr>
            <w:r>
              <w:rPr>
                <w:sz w:val="20"/>
                <w:szCs w:val="20"/>
              </w:rPr>
              <w:t xml:space="preserve">350.000</w:t>
            </w:r>
          </w:p>
        </w:tc>
        <w:tc>
          <w:tcPr>
            <w:shd w:fill="F1F8F6" w:val="clear"/>
          </w:tcPr>
          <w:p>
            <w:pPr>
              <w:spacing w:after="50" w:before="50"/>
              <w:jc w:val="left"/>
            </w:pPr>
            <w:r>
              <w:rPr>
                <w:sz w:val="20"/>
                <w:szCs w:val="20"/>
              </w:rPr>
              <w:t xml:space="preserve">350.000</w:t>
            </w:r>
          </w:p>
        </w:tc>
      </w:tr>
      <w:tr>
        <w:tc>
          <w:tcPr>
            <w:shd w:fill="FFFFFF" w:val="clear"/>
          </w:tcPr>
          <w:p>
            <w:pPr>
              <w:spacing w:after="50" w:before="50"/>
              <w:jc w:val="left"/>
            </w:pPr>
            <w:r>
              <w:rPr>
                <w:sz w:val="20"/>
                <w:szCs w:val="20"/>
              </w:rPr>
              <w:t xml:space="preserve">Análisis de calidad del agua del reservorio (laboratorio)</w:t>
            </w:r>
          </w:p>
        </w:tc>
        <w:tc>
          <w:tcPr>
            <w:shd w:fill="FFFFFF" w:val="clear"/>
          </w:tcPr>
          <w:p>
            <w:pPr>
              <w:spacing w:after="50" w:before="50"/>
              <w:jc w:val="left"/>
            </w:pPr>
            <w:r>
              <w:rPr>
                <w:sz w:val="20"/>
                <w:szCs w:val="20"/>
              </w:rPr>
              <w:t xml:space="preserve">Muestra/año</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450.000</w:t>
            </w:r>
          </w:p>
        </w:tc>
        <w:tc>
          <w:tcPr>
            <w:shd w:fill="FFFFFF" w:val="clear"/>
          </w:tcPr>
          <w:p>
            <w:pPr>
              <w:spacing w:after="50" w:before="50"/>
              <w:jc w:val="left"/>
            </w:pPr>
            <w:r>
              <w:rPr>
                <w:sz w:val="20"/>
                <w:szCs w:val="20"/>
              </w:rPr>
              <w:t xml:space="preserve">450.000</w:t>
            </w:r>
          </w:p>
        </w:tc>
      </w:tr>
      <w:tr>
        <w:tc>
          <w:tcPr>
            <w:shd w:fill="F1F8F6" w:val="clear"/>
          </w:tcPr>
          <w:p>
            <w:pPr>
              <w:spacing w:after="50" w:before="50"/>
              <w:jc w:val="left"/>
            </w:pPr>
            <w:r>
              <w:rPr>
                <w:sz w:val="20"/>
                <w:szCs w:val="20"/>
              </w:rPr>
              <w:t xml:space="preserve">Elaboración y radicación de informes semestrales CAS</w:t>
            </w:r>
          </w:p>
        </w:tc>
        <w:tc>
          <w:tcPr>
            <w:shd w:fill="F1F8F6" w:val="clear"/>
          </w:tcPr>
          <w:p>
            <w:pPr>
              <w:spacing w:after="50" w:before="50"/>
              <w:jc w:val="left"/>
            </w:pPr>
            <w:r>
              <w:rPr>
                <w:sz w:val="20"/>
                <w:szCs w:val="20"/>
              </w:rPr>
              <w:t xml:space="preserve">Informe</w:t>
            </w:r>
          </w:p>
        </w:tc>
        <w:tc>
          <w:tcPr>
            <w:shd w:fill="F1F8F6" w:val="clear"/>
          </w:tcPr>
          <w:p>
            <w:pPr>
              <w:spacing w:after="50" w:before="50"/>
              <w:jc w:val="left"/>
            </w:pPr>
            <w:r>
              <w:rPr>
                <w:sz w:val="20"/>
                <w:szCs w:val="20"/>
              </w:rPr>
              <w:t xml:space="preserve">2</w:t>
            </w:r>
          </w:p>
        </w:tc>
        <w:tc>
          <w:tcPr>
            <w:shd w:fill="F1F8F6" w:val="clear"/>
          </w:tcPr>
          <w:p>
            <w:pPr>
              <w:spacing w:after="50" w:before="50"/>
              <w:jc w:val="left"/>
            </w:pPr>
            <w:r>
              <w:rPr>
                <w:sz w:val="20"/>
                <w:szCs w:val="20"/>
              </w:rPr>
              <w:t xml:space="preserve">600.000</w:t>
            </w:r>
          </w:p>
        </w:tc>
        <w:tc>
          <w:tcPr>
            <w:shd w:fill="F1F8F6" w:val="clear"/>
          </w:tcPr>
          <w:p>
            <w:pPr>
              <w:spacing w:after="50" w:before="50"/>
              <w:jc w:val="left"/>
            </w:pPr>
            <w:r>
              <w:rPr>
                <w:sz w:val="20"/>
                <w:szCs w:val="20"/>
              </w:rPr>
              <w:t xml:space="preserve">1.200.000</w:t>
            </w:r>
          </w:p>
        </w:tc>
      </w:tr>
      <w:tr>
        <w:tc>
          <w:tcPr>
            <w:shd w:fill="FFFFFF" w:val="clear"/>
          </w:tcPr>
          <w:p>
            <w:pPr>
              <w:spacing w:after="50" w:before="50"/>
              <w:jc w:val="left"/>
            </w:pPr>
            <w:r>
              <w:rPr>
                <w:sz w:val="20"/>
                <w:szCs w:val="20"/>
              </w:rPr>
              <w:t xml:space="preserve">Evaluación técnica de reúso (reservorio→desinfección)</w:t>
            </w:r>
          </w:p>
        </w:tc>
        <w:tc>
          <w:tcPr>
            <w:shd w:fill="FFFFFF" w:val="clear"/>
          </w:tcPr>
          <w:p>
            <w:pPr>
              <w:spacing w:after="50" w:before="50"/>
              <w:jc w:val="left"/>
            </w:pPr>
            <w:r>
              <w:rPr>
                <w:sz w:val="20"/>
                <w:szCs w:val="20"/>
              </w:rPr>
              <w:t xml:space="preserve">Global</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800.000</w:t>
            </w:r>
          </w:p>
        </w:tc>
        <w:tc>
          <w:tcPr>
            <w:shd w:fill="FFFFFF" w:val="clear"/>
          </w:tcPr>
          <w:p>
            <w:pPr>
              <w:spacing w:after="50" w:before="50"/>
              <w:jc w:val="left"/>
            </w:pPr>
            <w:r>
              <w:rPr>
                <w:sz w:val="20"/>
                <w:szCs w:val="20"/>
              </w:rPr>
              <w:t xml:space="preserve">800.000</w:t>
            </w:r>
          </w:p>
        </w:tc>
      </w:tr>
      <w:tr>
        <w:tc>
          <w:tcPr>
            <w:shd w:fill="F1F8F6" w:val="clear"/>
          </w:tcPr>
          <w:p>
            <w:pPr>
              <w:spacing w:after="50" w:before="50"/>
              <w:jc w:val="left"/>
            </w:pPr>
            <w:r>
              <w:rPr>
                <w:sz w:val="20"/>
                <w:szCs w:val="20"/>
              </w:rPr>
              <w:t xml:space="preserve">Total año 1</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3.600.000</w:t>
            </w:r>
          </w:p>
        </w:tc>
      </w:tr>
      <w:tr>
        <w:tc>
          <w:tcPr>
            <w:shd w:fill="FFFFFF" w:val="clear"/>
          </w:tcPr>
          <w:p>
            <w:pPr>
              <w:spacing w:after="50" w:before="50"/>
              <w:jc w:val="left"/>
            </w:pPr>
            <w:r>
              <w:rPr>
                <w:sz w:val="20"/>
                <w:szCs w:val="20"/>
              </w:rPr>
              <w:t xml:space="preserve">Mantenimiento años 2-5 (calibración + 2 informes/año)</w:t>
            </w:r>
          </w:p>
        </w:tc>
        <w:tc>
          <w:tcPr>
            <w:shd w:fill="FFFFFF" w:val="clear"/>
          </w:tcPr>
          <w:p>
            <w:pPr>
              <w:spacing w:after="50" w:before="50"/>
              <w:jc w:val="left"/>
            </w:pPr>
            <w:r>
              <w:rPr>
                <w:sz w:val="20"/>
                <w:szCs w:val="20"/>
              </w:rPr>
              <w:t xml:space="preserve">Global/año</w:t>
            </w:r>
          </w:p>
        </w:tc>
        <w:tc>
          <w:tcPr>
            <w:shd w:fill="FFFFFF" w:val="clear"/>
          </w:tcPr>
          <w:p>
            <w:pPr>
              <w:spacing w:after="50" w:before="50"/>
              <w:jc w:val="left"/>
            </w:pPr>
            <w:r>
              <w:rPr>
                <w:sz w:val="20"/>
                <w:szCs w:val="20"/>
              </w:rPr>
              <w:t xml:space="preserve">1</w:t>
            </w:r>
          </w:p>
        </w:tc>
        <w:tc>
          <w:tcPr>
            <w:shd w:fill="FFFFFF" w:val="clear"/>
          </w:tcPr>
          <w:p>
            <w:pPr>
              <w:spacing w:after="50" w:before="50"/>
              <w:jc w:val="left"/>
            </w:pPr>
            <w:r>
              <w:rPr>
                <w:sz w:val="20"/>
                <w:szCs w:val="20"/>
              </w:rPr>
              <w:t xml:space="preserve">2.050.000</w:t>
            </w:r>
          </w:p>
        </w:tc>
        <w:tc>
          <w:tcPr>
            <w:shd w:fill="FFFFFF" w:val="clear"/>
          </w:tcPr>
          <w:p>
            <w:pPr>
              <w:spacing w:after="50" w:before="50"/>
              <w:jc w:val="left"/>
            </w:pPr>
            <w:r>
              <w:rPr>
                <w:sz w:val="20"/>
                <w:szCs w:val="20"/>
              </w:rPr>
              <w:t xml:space="preserve">2.050.000/año</w:t>
            </w:r>
          </w:p>
        </w:tc>
      </w:tr>
    </w:tbl>
    <w:p>
      <w:pPr>
        <w:spacing w:after="180" w:before="60"/>
        <w:jc w:val="left"/>
      </w:pPr>
      <w:r>
        <w:rPr>
          <w:i/>
          <w:iCs/>
          <w:color w:val="777777"/>
          <w:sz w:val="16"/>
          <w:szCs w:val="16"/>
        </w:rPr>
        <w:t xml:space="preserve">Fuente. Estimación propia con base en tarifas de laboratorio acreditado y costos de consultoría ambiental en el departamento de Santander, año 2024.</w:t>
      </w:r>
    </w:p>
    <w:p>
      <w:pPr>
        <w:spacing w:after="90" w:before="220"/>
        <w:jc w:val="center"/>
      </w:pPr>
      <w:r>
        <w:rPr>
          <w:b/>
          <w:bCs/>
          <w:sz w:val="20"/>
          <w:szCs w:val="20"/>
        </w:rPr>
        <w:t xml:space="preserve">Tabla 26. Cronograma — Programa 13.4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Actividad</w:t>
            </w:r>
          </w:p>
        </w:tc>
        <w:tc>
          <w:tcPr>
            <w:shd w:fill="4A9D8E" w:val="clear"/>
          </w:tcPr>
          <w:p>
            <w:pPr>
              <w:spacing w:after="50" w:before="50"/>
              <w:jc w:val="center"/>
            </w:pPr>
            <w:r>
              <w:rPr>
                <w:b/>
                <w:bCs/>
                <w:color w:val="FFFFFF"/>
                <w:sz w:val="20"/>
                <w:szCs w:val="20"/>
              </w:rPr>
              <w:t xml:space="preserve">Corto plazo (Año 1)</w:t>
            </w:r>
          </w:p>
        </w:tc>
        <w:tc>
          <w:tcPr>
            <w:shd w:fill="4A9D8E" w:val="clear"/>
          </w:tcPr>
          <w:p>
            <w:pPr>
              <w:spacing w:after="50" w:before="50"/>
              <w:jc w:val="center"/>
            </w:pPr>
            <w:r>
              <w:rPr>
                <w:b/>
                <w:bCs/>
                <w:color w:val="FFFFFF"/>
                <w:sz w:val="20"/>
                <w:szCs w:val="20"/>
              </w:rPr>
              <w:t xml:space="preserve">Mediano plazo (Años 2-3)</w:t>
            </w:r>
          </w:p>
        </w:tc>
        <w:tc>
          <w:tcPr>
            <w:shd w:fill="4A9D8E" w:val="clear"/>
          </w:tcPr>
          <w:p>
            <w:pPr>
              <w:spacing w:after="50" w:before="50"/>
              <w:jc w:val="center"/>
            </w:pPr>
            <w:r>
              <w:rPr>
                <w:b/>
                <w:bCs/>
                <w:color w:val="FFFFFF"/>
                <w:sz w:val="20"/>
                <w:szCs w:val="20"/>
              </w:rPr>
              <w:t xml:space="preserve">Largo plazo (Años 4-5)</w:t>
            </w:r>
          </w:p>
        </w:tc>
      </w:tr>
      <w:tr>
        <w:tc>
          <w:tcPr>
            <w:shd w:fill="F1F8F6" w:val="clear"/>
          </w:tcPr>
          <w:p>
            <w:pPr>
              <w:spacing w:after="50" w:before="50"/>
              <w:jc w:val="left"/>
            </w:pPr>
            <w:r>
              <w:rPr>
                <w:sz w:val="20"/>
                <w:szCs w:val="20"/>
              </w:rPr>
              <w:t xml:space="preserve">Elaboración de protocolos y formatos de registro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Inicio de registro mensual de lecturas del medidor</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r>
        <w:tc>
          <w:tcPr>
            <w:shd w:fill="F1F8F6" w:val="clear"/>
          </w:tcPr>
          <w:p>
            <w:pPr>
              <w:spacing w:after="50" w:before="50"/>
              <w:jc w:val="left"/>
            </w:pPr>
            <w:r>
              <w:rPr>
                <w:sz w:val="20"/>
                <w:szCs w:val="20"/>
              </w:rPr>
              <w:t xml:space="preserve">Calibración anual de medidores (pozo y reservorio)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r>
      <w:tr>
        <w:tc>
          <w:tcPr>
            <w:shd w:fill="FFFFFF" w:val="clear"/>
          </w:tcPr>
          <w:p>
            <w:pPr>
              <w:spacing w:after="50" w:before="50"/>
              <w:jc w:val="left"/>
            </w:pPr>
            <w:r>
              <w:rPr>
                <w:sz w:val="20"/>
                <w:szCs w:val="20"/>
              </w:rPr>
              <w:t xml:space="preserve">Primer informe semestral de seguimiento ante CAS</w:t>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
            </w:r>
          </w:p>
        </w:tc>
      </w:tr>
      <w:tr>
        <w:tc>
          <w:tcPr>
            <w:shd w:fill="F1F8F6" w:val="clear"/>
          </w:tcPr>
          <w:p>
            <w:pPr>
              <w:spacing w:after="50" w:before="50"/>
              <w:jc w:val="left"/>
            </w:pPr>
            <w:r>
              <w:rPr>
                <w:sz w:val="20"/>
                <w:szCs w:val="20"/>
              </w:rPr>
              <w:t xml:space="preserve">Análisis de calidad del agua del reservorio</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X</w:t>
            </w:r>
          </w:p>
        </w:tc>
        <w:tc>
          <w:tcPr>
            <w:shd w:fill="F1F8F6" w:val="clear"/>
          </w:tcPr>
          <w:p>
            <w:pPr>
              <w:spacing w:after="50" w:before="50"/>
              <w:jc w:val="left"/>
            </w:pPr>
            <w:r>
              <w:rPr>
                <w:sz w:val="20"/>
                <w:szCs w:val="20"/>
              </w:rPr>
              <w:t xml:space="preserve"/>
            </w:r>
          </w:p>
        </w:tc>
      </w:tr>
      <w:tr>
        <w:tc>
          <w:tcPr>
            <w:shd w:fill="FFFFFF" w:val="clear"/>
          </w:tcPr>
          <w:p>
            <w:pPr>
              <w:spacing w:after="50" w:before="50"/>
              <w:jc w:val="left"/>
            </w:pPr>
            <w:r>
              <w:rPr>
                <w:sz w:val="20"/>
                <w:szCs w:val="20"/>
              </w:rPr>
              <w:t xml:space="preserve">Evaluación técnica de reúso reservorio→desinfección</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
            </w:r>
          </w:p>
        </w:tc>
      </w:tr>
      <w:tr>
        <w:tc>
          <w:tcPr>
            <w:shd w:fill="F1F8F6" w:val="clear"/>
          </w:tcPr>
          <w:p>
            <w:pPr>
              <w:spacing w:after="50" w:before="50"/>
              <w:jc w:val="left"/>
            </w:pPr>
            <w:r>
              <w:rPr>
                <w:sz w:val="20"/>
                <w:szCs w:val="20"/>
              </w:rPr>
              <w:t xml:space="preserve">Implementación del esquema de reúso (si aplica)</w:t>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
            </w:r>
          </w:p>
        </w:tc>
        <w:tc>
          <w:tcPr>
            <w:shd w:fill="F1F8F6" w:val="clear"/>
          </w:tcPr>
          <w:p>
            <w:pPr>
              <w:spacing w:after="50" w:before="50"/>
              <w:jc w:val="left"/>
            </w:pPr>
            <w:r>
              <w:rPr>
                <w:sz w:val="20"/>
                <w:szCs w:val="20"/>
              </w:rPr>
              <w:t xml:space="preserve">X</w:t>
            </w:r>
          </w:p>
        </w:tc>
      </w:tr>
      <w:tr>
        <w:tc>
          <w:tcPr>
            <w:shd w:fill="FFFFFF" w:val="clear"/>
          </w:tcPr>
          <w:p>
            <w:pPr>
              <w:spacing w:after="50" w:before="50"/>
              <w:jc w:val="left"/>
            </w:pPr>
            <w:r>
              <w:rPr>
                <w:sz w:val="20"/>
                <w:szCs w:val="20"/>
              </w:rPr>
              <w:t xml:space="preserve">Informes semestrales continuos ante CAS</w:t>
            </w:r>
          </w:p>
        </w:tc>
        <w:tc>
          <w:tcPr>
            <w:shd w:fill="FFFFFF" w:val="clear"/>
          </w:tcPr>
          <w:p>
            <w:pPr>
              <w:spacing w:after="50" w:before="50"/>
              <w:jc w:val="left"/>
            </w:pPr>
            <w:r>
              <w:rPr>
                <w:sz w:val="20"/>
                <w:szCs w:val="20"/>
              </w:rPr>
              <w:t xml:space="preserve"/>
            </w:r>
          </w:p>
        </w:tc>
        <w:tc>
          <w:tcPr>
            <w:shd w:fill="FFFFFF" w:val="clear"/>
          </w:tcPr>
          <w:p>
            <w:pPr>
              <w:spacing w:after="50" w:before="50"/>
              <w:jc w:val="left"/>
            </w:pPr>
            <w:r>
              <w:rPr>
                <w:sz w:val="20"/>
                <w:szCs w:val="20"/>
              </w:rPr>
              <w:t xml:space="preserve">X</w:t>
            </w:r>
          </w:p>
        </w:tc>
        <w:tc>
          <w:tcPr>
            <w:shd w:fill="FFFFFF" w:val="clear"/>
          </w:tcPr>
          <w:p>
            <w:pPr>
              <w:spacing w:after="50" w:before="50"/>
              <w:jc w:val="left"/>
            </w:pPr>
            <w:r>
              <w:rPr>
                <w:sz w:val="20"/>
                <w:szCs w:val="20"/>
              </w:rPr>
              <w:t xml:space="preserve">X</w:t>
            </w:r>
          </w:p>
        </w:tc>
      </w:tr>
    </w:tbl>
    <w:p>
      <w:pPr>
        <w:spacing w:after="180" w:before="60"/>
        <w:jc w:val="left"/>
      </w:pPr>
      <w:r>
        <w:rPr>
          <w:i/>
          <w:iCs/>
          <w:color w:val="777777"/>
          <w:sz w:val="16"/>
          <w:szCs w:val="16"/>
        </w:rPr>
        <w:t xml:space="preserve">Fuente. Formulación propia PUEAA — Granja Avícola Jamaica.</w:t>
      </w:r>
    </w:p>
    <w:p>
      <w:pPr>
        <w:pStyle w:val="Heading2"/>
        <w:spacing w:after="140" w:before="240"/>
      </w:pPr>
      <w:r>
        <w:rPr>
          <w:b/>
          <w:bCs/>
          <w:color w:val="4A9D8E"/>
          <w:sz w:val="24"/>
          <w:szCs w:val="24"/>
        </w:rPr>
        <w:t xml:space="preserve">13.5. Resumen consolidado de inversión y cronograma general</w:t>
      </w:r>
    </w:p>
    <w:p>
      <w:pPr>
        <w:spacing w:after="90" w:before="220"/>
        <w:jc w:val="center"/>
      </w:pPr>
      <w:r>
        <w:rPr>
          <w:b/>
          <w:bCs/>
          <w:sz w:val="20"/>
          <w:szCs w:val="20"/>
        </w:rPr>
        <w:t xml:space="preserve">Tabla 27. Inversión consolidada por programa (5 años de vigencia del PUEAA)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shd w:fill="4A9D8E" w:val="clear"/>
          </w:tcPr>
          <w:p>
            <w:pPr>
              <w:spacing w:after="50" w:before="50"/>
              <w:jc w:val="center"/>
            </w:pPr>
            <w:r>
              <w:rPr>
                <w:b/>
                <w:bCs/>
                <w:color w:val="FFFFFF"/>
                <w:sz w:val="20"/>
                <w:szCs w:val="20"/>
              </w:rPr>
              <w:t xml:space="preserve">Programa</w:t>
            </w:r>
          </w:p>
        </w:tc>
        <w:tc>
          <w:tcPr>
            <w:shd w:fill="4A9D8E" w:val="clear"/>
          </w:tcPr>
          <w:p>
            <w:pPr>
              <w:spacing w:after="50" w:before="50"/>
              <w:jc w:val="center"/>
            </w:pPr>
            <w:r>
              <w:rPr>
                <w:b/>
                <w:bCs/>
                <w:color w:val="FFFFFF"/>
                <w:sz w:val="20"/>
                <w:szCs w:val="20"/>
              </w:rPr>
              <w:t xml:space="preserve">Año 1 (COP)</w:t>
            </w:r>
          </w:p>
        </w:tc>
        <w:tc>
          <w:tcPr>
            <w:shd w:fill="4A9D8E" w:val="clear"/>
          </w:tcPr>
          <w:p>
            <w:pPr>
              <w:spacing w:after="50" w:before="50"/>
              <w:jc w:val="center"/>
            </w:pPr>
            <w:r>
              <w:rPr>
                <w:b/>
                <w:bCs/>
                <w:color w:val="FFFFFF"/>
                <w:sz w:val="20"/>
                <w:szCs w:val="20"/>
              </w:rPr>
              <w:t xml:space="preserve">Años 2-3 (COP/año)</w:t>
            </w:r>
          </w:p>
        </w:tc>
        <w:tc>
          <w:tcPr>
            <w:shd w:fill="4A9D8E" w:val="clear"/>
          </w:tcPr>
          <w:p>
            <w:pPr>
              <w:spacing w:after="50" w:before="50"/>
              <w:jc w:val="center"/>
            </w:pPr>
            <w:r>
              <w:rPr>
                <w:b/>
                <w:bCs/>
                <w:color w:val="FFFFFF"/>
                <w:sz w:val="20"/>
                <w:szCs w:val="20"/>
              </w:rPr>
              <w:t xml:space="preserve">Años 4-5 (COP/año)</w:t>
            </w:r>
          </w:p>
        </w:tc>
        <w:tc>
          <w:tcPr>
            <w:shd w:fill="4A9D8E" w:val="clear"/>
          </w:tcPr>
          <w:p>
            <w:pPr>
              <w:spacing w:after="50" w:before="50"/>
              <w:jc w:val="center"/>
            </w:pPr>
            <w:r>
              <w:rPr>
                <w:b/>
                <w:bCs/>
                <w:color w:val="FFFFFF"/>
                <w:sz w:val="20"/>
                <w:szCs w:val="20"/>
              </w:rPr>
              <w:t xml:space="preserve">Total 5 años (COP)</w:t>
            </w:r>
          </w:p>
        </w:tc>
      </w:tr>
      <w:tr>
        <w:tc>
          <w:tcPr>
            <w:shd w:fill="F1F8F6" w:val="clear"/>
          </w:tcPr>
          <w:p>
            <w:pPr>
              <w:spacing w:after="50" w:before="50"/>
              <w:jc w:val="left"/>
            </w:pPr>
            <w:r>
              <w:rPr>
                <w:sz w:val="20"/>
                <w:szCs w:val="20"/>
              </w:rPr>
              <w:t xml:space="preserve">13.1 Educación ambiental y cultura del agua</w:t>
            </w:r>
          </w:p>
        </w:tc>
        <w:tc>
          <w:tcPr>
            <w:shd w:fill="F1F8F6" w:val="clear"/>
          </w:tcPr>
          <w:p>
            <w:pPr>
              <w:spacing w:after="50" w:before="50"/>
              <w:jc w:val="left"/>
            </w:pPr>
            <w:r>
              <w:rPr>
                <w:sz w:val="20"/>
                <w:szCs w:val="20"/>
              </w:rPr>
              <w:t xml:space="preserve">2.040.000</w:t>
            </w:r>
          </w:p>
        </w:tc>
        <w:tc>
          <w:tcPr>
            <w:shd w:fill="F1F8F6" w:val="clear"/>
          </w:tcPr>
          <w:p>
            <w:pPr>
              <w:spacing w:after="50" w:before="50"/>
              <w:jc w:val="left"/>
            </w:pPr>
            <w:r>
              <w:rPr>
                <w:sz w:val="20"/>
                <w:szCs w:val="20"/>
              </w:rPr>
              <w:t xml:space="preserve">700.000</w:t>
            </w:r>
          </w:p>
        </w:tc>
        <w:tc>
          <w:tcPr>
            <w:shd w:fill="F1F8F6" w:val="clear"/>
          </w:tcPr>
          <w:p>
            <w:pPr>
              <w:spacing w:after="50" w:before="50"/>
              <w:jc w:val="left"/>
            </w:pPr>
            <w:r>
              <w:rPr>
                <w:sz w:val="20"/>
                <w:szCs w:val="20"/>
              </w:rPr>
              <w:t xml:space="preserve">700.000</w:t>
            </w:r>
          </w:p>
        </w:tc>
        <w:tc>
          <w:tcPr>
            <w:shd w:fill="F1F8F6" w:val="clear"/>
          </w:tcPr>
          <w:p>
            <w:pPr>
              <w:spacing w:after="50" w:before="50"/>
              <w:jc w:val="left"/>
            </w:pPr>
            <w:r>
              <w:rPr>
                <w:sz w:val="20"/>
                <w:szCs w:val="20"/>
              </w:rPr>
              <w:t xml:space="preserve">5.840.000</w:t>
            </w:r>
          </w:p>
        </w:tc>
      </w:tr>
      <w:tr>
        <w:tc>
          <w:tcPr>
            <w:shd w:fill="FFFFFF" w:val="clear"/>
          </w:tcPr>
          <w:p>
            <w:pPr>
              <w:spacing w:after="50" w:before="50"/>
              <w:jc w:val="left"/>
            </w:pPr>
            <w:r>
              <w:rPr>
                <w:sz w:val="20"/>
                <w:szCs w:val="20"/>
              </w:rPr>
              <w:t xml:space="preserve">13.2 Reducción de pérdidas y eficiencia</w:t>
            </w:r>
          </w:p>
        </w:tc>
        <w:tc>
          <w:tcPr>
            <w:shd w:fill="FFFFFF" w:val="clear"/>
          </w:tcPr>
          <w:p>
            <w:pPr>
              <w:spacing w:after="50" w:before="50"/>
              <w:jc w:val="left"/>
            </w:pPr>
            <w:r>
              <w:rPr>
                <w:sz w:val="20"/>
                <w:szCs w:val="20"/>
              </w:rPr>
              <w:t xml:space="preserve">4.050.000</w:t>
            </w:r>
          </w:p>
        </w:tc>
        <w:tc>
          <w:tcPr>
            <w:shd w:fill="FFFFFF" w:val="clear"/>
          </w:tcPr>
          <w:p>
            <w:pPr>
              <w:spacing w:after="50" w:before="50"/>
              <w:jc w:val="left"/>
            </w:pPr>
            <w:r>
              <w:rPr>
                <w:sz w:val="20"/>
                <w:szCs w:val="20"/>
              </w:rPr>
              <w:t xml:space="preserve">1.750.000</w:t>
            </w:r>
          </w:p>
        </w:tc>
        <w:tc>
          <w:tcPr>
            <w:shd w:fill="FFFFFF" w:val="clear"/>
          </w:tcPr>
          <w:p>
            <w:pPr>
              <w:spacing w:after="50" w:before="50"/>
              <w:jc w:val="left"/>
            </w:pPr>
            <w:r>
              <w:rPr>
                <w:sz w:val="20"/>
                <w:szCs w:val="20"/>
              </w:rPr>
              <w:t xml:space="preserve">1.750.000</w:t>
            </w:r>
          </w:p>
        </w:tc>
        <w:tc>
          <w:tcPr>
            <w:shd w:fill="FFFFFF" w:val="clear"/>
          </w:tcPr>
          <w:p>
            <w:pPr>
              <w:spacing w:after="50" w:before="50"/>
              <w:jc w:val="left"/>
            </w:pPr>
            <w:r>
              <w:rPr>
                <w:sz w:val="20"/>
                <w:szCs w:val="20"/>
              </w:rPr>
              <w:t xml:space="preserve">11.050.000</w:t>
            </w:r>
          </w:p>
        </w:tc>
      </w:tr>
      <w:tr>
        <w:tc>
          <w:tcPr>
            <w:shd w:fill="F1F8F6" w:val="clear"/>
          </w:tcPr>
          <w:p>
            <w:pPr>
              <w:spacing w:after="50" w:before="50"/>
              <w:jc w:val="left"/>
            </w:pPr>
            <w:r>
              <w:rPr>
                <w:sz w:val="20"/>
                <w:szCs w:val="20"/>
              </w:rPr>
              <w:t xml:space="preserve">13.3 Protección y conservación de zonas de recarga</w:t>
            </w:r>
          </w:p>
        </w:tc>
        <w:tc>
          <w:tcPr>
            <w:shd w:fill="F1F8F6" w:val="clear"/>
          </w:tcPr>
          <w:p>
            <w:pPr>
              <w:spacing w:after="50" w:before="50"/>
              <w:jc w:val="left"/>
            </w:pPr>
            <w:r>
              <w:rPr>
                <w:sz w:val="20"/>
                <w:szCs w:val="20"/>
              </w:rPr>
              <w:t xml:space="preserve">2.750.000</w:t>
            </w:r>
          </w:p>
        </w:tc>
        <w:tc>
          <w:tcPr>
            <w:shd w:fill="F1F8F6" w:val="clear"/>
          </w:tcPr>
          <w:p>
            <w:pPr>
              <w:spacing w:after="50" w:before="50"/>
              <w:jc w:val="left"/>
            </w:pPr>
            <w:r>
              <w:rPr>
                <w:sz w:val="20"/>
                <w:szCs w:val="20"/>
              </w:rPr>
              <w:t xml:space="preserve">550.000</w:t>
            </w:r>
          </w:p>
        </w:tc>
        <w:tc>
          <w:tcPr>
            <w:shd w:fill="F1F8F6" w:val="clear"/>
          </w:tcPr>
          <w:p>
            <w:pPr>
              <w:spacing w:after="50" w:before="50"/>
              <w:jc w:val="left"/>
            </w:pPr>
            <w:r>
              <w:rPr>
                <w:sz w:val="20"/>
                <w:szCs w:val="20"/>
              </w:rPr>
              <w:t xml:space="preserve">550.000</w:t>
            </w:r>
          </w:p>
        </w:tc>
        <w:tc>
          <w:tcPr>
            <w:shd w:fill="F1F8F6" w:val="clear"/>
          </w:tcPr>
          <w:p>
            <w:pPr>
              <w:spacing w:after="50" w:before="50"/>
              <w:jc w:val="left"/>
            </w:pPr>
            <w:r>
              <w:rPr>
                <w:sz w:val="20"/>
                <w:szCs w:val="20"/>
              </w:rPr>
              <w:t xml:space="preserve">6.950.000</w:t>
            </w:r>
          </w:p>
        </w:tc>
      </w:tr>
      <w:tr>
        <w:tc>
          <w:tcPr>
            <w:shd w:fill="FFFFFF" w:val="clear"/>
          </w:tcPr>
          <w:p>
            <w:pPr>
              <w:spacing w:after="50" w:before="50"/>
              <w:jc w:val="left"/>
            </w:pPr>
            <w:r>
              <w:rPr>
                <w:sz w:val="20"/>
                <w:szCs w:val="20"/>
              </w:rPr>
              <w:t xml:space="preserve">13.4 Medición, monitoreo y reúso</w:t>
            </w:r>
          </w:p>
        </w:tc>
        <w:tc>
          <w:tcPr>
            <w:shd w:fill="FFFFFF" w:val="clear"/>
          </w:tcPr>
          <w:p>
            <w:pPr>
              <w:spacing w:after="50" w:before="50"/>
              <w:jc w:val="left"/>
            </w:pPr>
            <w:r>
              <w:rPr>
                <w:sz w:val="20"/>
                <w:szCs w:val="20"/>
              </w:rPr>
              <w:t xml:space="preserve">3.600.000</w:t>
            </w:r>
          </w:p>
        </w:tc>
        <w:tc>
          <w:tcPr>
            <w:shd w:fill="FFFFFF" w:val="clear"/>
          </w:tcPr>
          <w:p>
            <w:pPr>
              <w:spacing w:after="50" w:before="50"/>
              <w:jc w:val="left"/>
            </w:pPr>
            <w:r>
              <w:rPr>
                <w:sz w:val="20"/>
                <w:szCs w:val="20"/>
              </w:rPr>
              <w:t xml:space="preserve">2.050.000</w:t>
            </w:r>
          </w:p>
        </w:tc>
        <w:tc>
          <w:tcPr>
            <w:shd w:fill="FFFFFF" w:val="clear"/>
          </w:tcPr>
          <w:p>
            <w:pPr>
              <w:spacing w:after="50" w:before="50"/>
              <w:jc w:val="left"/>
            </w:pPr>
            <w:r>
              <w:rPr>
                <w:sz w:val="20"/>
                <w:szCs w:val="20"/>
              </w:rPr>
              <w:t xml:space="preserve">2.050.000</w:t>
            </w:r>
          </w:p>
        </w:tc>
        <w:tc>
          <w:tcPr>
            <w:shd w:fill="FFFFFF" w:val="clear"/>
          </w:tcPr>
          <w:p>
            <w:pPr>
              <w:spacing w:after="50" w:before="50"/>
              <w:jc w:val="left"/>
            </w:pPr>
            <w:r>
              <w:rPr>
                <w:sz w:val="20"/>
                <w:szCs w:val="20"/>
              </w:rPr>
              <w:t xml:space="preserve">11.800.000</w:t>
            </w:r>
          </w:p>
        </w:tc>
      </w:tr>
      <w:tr>
        <w:tc>
          <w:tcPr>
            <w:shd w:fill="F1F8F6" w:val="clear"/>
          </w:tcPr>
          <w:p>
            <w:pPr>
              <w:spacing w:after="50" w:before="50"/>
              <w:jc w:val="left"/>
            </w:pPr>
            <w:r>
              <w:rPr>
                <w:sz w:val="20"/>
                <w:szCs w:val="20"/>
              </w:rPr>
              <w:t xml:space="preserve">TOTAL PUEAA</w:t>
            </w:r>
          </w:p>
        </w:tc>
        <w:tc>
          <w:tcPr>
            <w:shd w:fill="F1F8F6" w:val="clear"/>
          </w:tcPr>
          <w:p>
            <w:pPr>
              <w:spacing w:after="50" w:before="50"/>
              <w:jc w:val="left"/>
            </w:pPr>
            <w:r>
              <w:rPr>
                <w:sz w:val="20"/>
                <w:szCs w:val="20"/>
              </w:rPr>
              <w:t xml:space="preserve">12.440.000</w:t>
            </w:r>
          </w:p>
        </w:tc>
        <w:tc>
          <w:tcPr>
            <w:shd w:fill="F1F8F6" w:val="clear"/>
          </w:tcPr>
          <w:p>
            <w:pPr>
              <w:spacing w:after="50" w:before="50"/>
              <w:jc w:val="left"/>
            </w:pPr>
            <w:r>
              <w:rPr>
                <w:sz w:val="20"/>
                <w:szCs w:val="20"/>
              </w:rPr>
              <w:t xml:space="preserve">5.050.000</w:t>
            </w:r>
          </w:p>
        </w:tc>
        <w:tc>
          <w:tcPr>
            <w:shd w:fill="F1F8F6" w:val="clear"/>
          </w:tcPr>
          <w:p>
            <w:pPr>
              <w:spacing w:after="50" w:before="50"/>
              <w:jc w:val="left"/>
            </w:pPr>
            <w:r>
              <w:rPr>
                <w:sz w:val="20"/>
                <w:szCs w:val="20"/>
              </w:rPr>
              <w:t xml:space="preserve">5.050.000</w:t>
            </w:r>
          </w:p>
        </w:tc>
        <w:tc>
          <w:tcPr>
            <w:shd w:fill="F1F8F6" w:val="clear"/>
          </w:tcPr>
          <w:p>
            <w:pPr>
              <w:spacing w:after="50" w:before="50"/>
              <w:jc w:val="left"/>
            </w:pPr>
            <w:r>
              <w:rPr>
                <w:sz w:val="20"/>
                <w:szCs w:val="20"/>
              </w:rPr>
              <w:t xml:space="preserve">35.640.000</w:t>
            </w:r>
          </w:p>
        </w:tc>
      </w:tr>
    </w:tbl>
    <w:p>
      <w:pPr>
        <w:spacing w:after="180" w:before="60"/>
        <w:jc w:val="left"/>
      </w:pPr>
      <w:r>
        <w:rPr>
          <w:i/>
          <w:iCs/>
          <w:color w:val="777777"/>
          <w:sz w:val="16"/>
          <w:szCs w:val="16"/>
        </w:rPr>
        <w:t xml:space="preserve">Fuente. Formulación propia PUEAA — Granja Avícola Jamaica. Los valores corresponden a estimaciones de referencia para el departamento de Santander, año base 2024. Se deberán ajustar conforme al IPC al inicio de cada vigencia anual.</w:t>
      </w:r>
    </w:p>
    <w:p>
      <w:pPr>
        <w:spacing w:after="160" w:line="320"/>
        <w:jc w:val="both"/>
      </w:pPr>
      <w:r>
        <w:rPr>
          <w:sz w:val="22"/>
          <w:szCs w:val="22"/>
        </w:rPr>
        <w:t xml:space="preserve">La inversión total proyectada para los cinco años de vigencia del PUEAA asciende a treinta y cinco millones seiscientos cuarenta mil pesos (COP 35.640.000), monto que AVSA SA se compromete a apropiar en su presupuesto operativo anual. El mayor esfuerzo financiero se concentra en el primer año, con una inversión de COP 12.440.000, correspondiente a la formulación de instrumentos, estudios iniciales y adquisición de materiales. A partir del segundo año, el gasto anual se estabiliza en COP 5.050.000, destinado principalmente al mantenimiento de la medición, la calibración de instrumentos, los informes de seguimiento ante la autoridad ambiental y las jornadas de sensibilización del personal. Esta estructura de costos garantiza la sostenibilidad financiera del PUEAA en el marco de la operación ordinaria de la granja.</w:t>
      </w:r>
    </w:p>
    <w:p>
      <w:r>
        <w:br w:type="page"/>
      </w:r>
    </w:p>
    <w:p>
      <w:pPr>
        <w:pStyle w:val="Heading1"/>
        <w:spacing w:after="200" w:before="360"/>
      </w:pPr>
      <w:r>
        <w:rPr>
          <w:b/>
          <w:bCs/>
          <w:color w:val="1F2937"/>
          <w:sz w:val="28"/>
          <w:szCs w:val="28"/>
        </w:rPr>
        <w:t xml:space="preserve">14. INDICADORES, METAS Y CRONOGRAMA GENERAL</w:t>
      </w:r>
    </w:p>
    <w:p>
      <w:pPr>
        <w:spacing w:after="160" w:line="320"/>
        <w:jc w:val="both"/>
      </w:pPr>
      <w:r>
        <w:rPr>
          <w:sz w:val="22"/>
          <w:szCs w:val="22"/>
        </w:rPr>
        <w:t xml:space="preserve">El seguimiento y la verificación del cumplimiento del presente Programa se fundamentan en un conjunto de indicadores cuantitativos que permiten evaluar la evolución del consumo hídrico, la eficiencia del sistema de distribución, el aprovechamiento del recurso captado del pozo profundo y la efectividad de las medidas de ahorro implementadas. Cada indicador cuenta con una fórmula de cálculo, una línea base establecida a partir del caudal concesionado de 4,219 L/s, una meta medible en el horizonte de cinco años y una frecuencia de medición definida. El medidor de caudal instalado en el punto de captación del pozo constituye el instrumento primario para la generación de los datos de entrada de todos los indicadores de consumo.</w:t>
      </w:r>
    </w:p>
    <w:p>
      <w:pPr>
        <w:pStyle w:val="Heading2"/>
        <w:spacing w:after="140" w:before="240"/>
      </w:pPr>
      <w:r>
        <w:rPr>
          <w:b/>
          <w:bCs/>
          <w:color w:val="4A9D8E"/>
          <w:sz w:val="24"/>
          <w:szCs w:val="24"/>
        </w:rPr>
        <w:t xml:space="preserve">14.1. Indicadores de seguimiento</w:t>
      </w:r>
    </w:p>
    <w:p>
      <w:pPr>
        <w:spacing w:after="90" w:before="220"/>
        <w:jc w:val="center"/>
      </w:pPr>
      <w:r>
        <w:rPr>
          <w:b/>
          <w:bCs/>
          <w:sz w:val="20"/>
          <w:szCs w:val="20"/>
        </w:rPr>
        <w:t xml:space="preserve">Tabla 28. Indicadores de seguimiento del PUEAA — Granja Avícola Jamaica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337"/>
        <w:gridCol w:w="1337"/>
        <w:gridCol w:w="1337"/>
        <w:gridCol w:w="1337"/>
        <w:gridCol w:w="1337"/>
        <w:gridCol w:w="1337"/>
        <w:gridCol w:w="1338"/>
      </w:tblGrid>
      <w:tr>
        <w:trPr>
          <w:tblHeader/>
        </w:trPr>
        <w:tc>
          <w:tcPr>
            <w:shd w:fill="4A9D8E" w:val="clear"/>
          </w:tcPr>
          <w:p>
            <w:pPr>
              <w:spacing w:after="50" w:before="50"/>
              <w:jc w:val="center"/>
            </w:pPr>
            <w:r>
              <w:rPr>
                <w:b/>
                <w:bCs/>
                <w:color w:val="FFFFFF"/>
                <w:sz w:val="20"/>
                <w:szCs w:val="20"/>
              </w:rPr>
              <w:t xml:space="preserve">Código</w:t>
            </w:r>
          </w:p>
        </w:tc>
        <w:tc>
          <w:tcPr>
            <w:shd w:fill="4A9D8E" w:val="clear"/>
          </w:tcPr>
          <w:p>
            <w:pPr>
              <w:spacing w:after="50" w:before="50"/>
              <w:jc w:val="center"/>
            </w:pPr>
            <w:r>
              <w:rPr>
                <w:b/>
                <w:bCs/>
                <w:color w:val="FFFFFF"/>
                <w:sz w:val="20"/>
                <w:szCs w:val="20"/>
              </w:rPr>
              <w:t xml:space="preserve">Indicador</w:t>
            </w:r>
          </w:p>
        </w:tc>
        <w:tc>
          <w:tcPr>
            <w:shd w:fill="4A9D8E" w:val="clear"/>
          </w:tcPr>
          <w:p>
            <w:pPr>
              <w:spacing w:after="50" w:before="50"/>
              <w:jc w:val="center"/>
            </w:pPr>
            <w:r>
              <w:rPr>
                <w:b/>
                <w:bCs/>
                <w:color w:val="FFFFFF"/>
                <w:sz w:val="20"/>
                <w:szCs w:val="20"/>
              </w:rPr>
              <w:t xml:space="preserve">Fórmula</w:t>
            </w:r>
          </w:p>
        </w:tc>
        <w:tc>
          <w:tcPr>
            <w:shd w:fill="4A9D8E" w:val="clear"/>
          </w:tcPr>
          <w:p>
            <w:pPr>
              <w:spacing w:after="50" w:before="50"/>
              <w:jc w:val="center"/>
            </w:pPr>
            <w:r>
              <w:rPr>
                <w:b/>
                <w:bCs/>
                <w:color w:val="FFFFFF"/>
                <w:sz w:val="20"/>
                <w:szCs w:val="20"/>
              </w:rPr>
              <w:t xml:space="preserve">Unidad</w:t>
            </w:r>
          </w:p>
        </w:tc>
        <w:tc>
          <w:tcPr>
            <w:shd w:fill="4A9D8E" w:val="clear"/>
          </w:tcPr>
          <w:p>
            <w:pPr>
              <w:spacing w:after="50" w:before="50"/>
              <w:jc w:val="center"/>
            </w:pPr>
            <w:r>
              <w:rPr>
                <w:b/>
                <w:bCs/>
                <w:color w:val="FFFFFF"/>
                <w:sz w:val="20"/>
                <w:szCs w:val="20"/>
              </w:rPr>
              <w:t xml:space="preserve">Línea base</w:t>
            </w:r>
          </w:p>
        </w:tc>
        <w:tc>
          <w:tcPr>
            <w:shd w:fill="4A9D8E" w:val="clear"/>
          </w:tcPr>
          <w:p>
            <w:pPr>
              <w:spacing w:after="50" w:before="50"/>
              <w:jc w:val="center"/>
            </w:pPr>
            <w:r>
              <w:rPr>
                <w:b/>
                <w:bCs/>
                <w:color w:val="FFFFFF"/>
                <w:sz w:val="20"/>
                <w:szCs w:val="20"/>
              </w:rPr>
              <w:t xml:space="preserve">Meta año 5</w:t>
            </w:r>
          </w:p>
        </w:tc>
        <w:tc>
          <w:tcPr>
            <w:shd w:fill="4A9D8E" w:val="clear"/>
          </w:tcPr>
          <w:p>
            <w:pPr>
              <w:spacing w:after="50" w:before="50"/>
              <w:jc w:val="center"/>
            </w:pPr>
            <w:r>
              <w:rPr>
                <w:b/>
                <w:bCs/>
                <w:color w:val="FFFFFF"/>
                <w:sz w:val="20"/>
                <w:szCs w:val="20"/>
              </w:rPr>
              <w:t xml:space="preserve">Frecuencia</w:t>
            </w:r>
          </w:p>
        </w:tc>
      </w:tr>
      <w:tr>
        <w:tc>
          <w:tcPr>
            <w:shd w:fill="F1F8F6" w:val="clear"/>
          </w:tcPr>
          <w:p>
            <w:pPr>
              <w:spacing w:after="50" w:before="50"/>
              <w:jc w:val="left"/>
            </w:pPr>
            <w:r>
              <w:rPr>
                <w:sz w:val="20"/>
                <w:szCs w:val="20"/>
              </w:rPr>
              <w:t xml:space="preserve">I-01</w:t>
            </w:r>
          </w:p>
        </w:tc>
        <w:tc>
          <w:tcPr>
            <w:shd w:fill="F1F8F6" w:val="clear"/>
          </w:tcPr>
          <w:p>
            <w:pPr>
              <w:spacing w:after="50" w:before="50"/>
              <w:jc w:val="left"/>
            </w:pPr>
            <w:r>
              <w:rPr>
                <w:sz w:val="20"/>
                <w:szCs w:val="20"/>
              </w:rPr>
              <w:t xml:space="preserve">Consumo unitario pecuario</w:t>
            </w:r>
          </w:p>
        </w:tc>
        <w:tc>
          <w:tcPr>
            <w:shd w:fill="F1F8F6" w:val="clear"/>
          </w:tcPr>
          <w:p>
            <w:pPr>
              <w:spacing w:after="50" w:before="50"/>
              <w:jc w:val="left"/>
            </w:pPr>
            <w:r>
              <w:rPr>
                <w:sz w:val="20"/>
                <w:szCs w:val="20"/>
              </w:rPr>
              <w:t xml:space="preserve">Volumen total captado (m³/mes) ÷ número de aves en producción</w:t>
            </w:r>
          </w:p>
        </w:tc>
        <w:tc>
          <w:tcPr>
            <w:shd w:fill="F1F8F6" w:val="clear"/>
          </w:tcPr>
          <w:p>
            <w:pPr>
              <w:spacing w:after="50" w:before="50"/>
              <w:jc w:val="left"/>
            </w:pPr>
            <w:r>
              <w:rPr>
                <w:sz w:val="20"/>
                <w:szCs w:val="20"/>
              </w:rPr>
              <w:t xml:space="preserve">L/ave/día</w:t>
            </w:r>
          </w:p>
        </w:tc>
        <w:tc>
          <w:tcPr>
            <w:shd w:fill="F1F8F6" w:val="clear"/>
          </w:tcPr>
          <w:p>
            <w:pPr>
              <w:spacing w:after="50" w:before="50"/>
              <w:jc w:val="left"/>
            </w:pPr>
            <w:r>
              <w:rPr>
                <w:sz w:val="20"/>
                <w:szCs w:val="20"/>
              </w:rPr>
              <w:t xml:space="preserve">0,346 L/ave/día (equivalente al módulo CAS de 0,000004 L/s × 86.400 s/día)</w:t>
            </w:r>
          </w:p>
        </w:tc>
        <w:tc>
          <w:tcPr>
            <w:shd w:fill="F1F8F6" w:val="clear"/>
          </w:tcPr>
          <w:p>
            <w:pPr>
              <w:spacing w:after="50" w:before="50"/>
              <w:jc w:val="left"/>
            </w:pPr>
            <w:r>
              <w:rPr>
                <w:sz w:val="20"/>
                <w:szCs w:val="20"/>
              </w:rPr>
              <w:t xml:space="preserve">≤ 0,346 L/ave/día (mantenimiento del módulo CAS)</w:t>
            </w:r>
          </w:p>
        </w:tc>
        <w:tc>
          <w:tcPr>
            <w:shd w:fill="F1F8F6" w:val="clear"/>
          </w:tcPr>
          <w:p>
            <w:pPr>
              <w:spacing w:after="50" w:before="50"/>
              <w:jc w:val="left"/>
            </w:pPr>
            <w:r>
              <w:rPr>
                <w:sz w:val="20"/>
                <w:szCs w:val="20"/>
              </w:rPr>
              <w:t xml:space="preserve">Mensual</w:t>
            </w:r>
          </w:p>
        </w:tc>
      </w:tr>
      <w:tr>
        <w:tc>
          <w:tcPr>
            <w:shd w:fill="FFFFFF" w:val="clear"/>
          </w:tcPr>
          <w:p>
            <w:pPr>
              <w:spacing w:after="50" w:before="50"/>
              <w:jc w:val="left"/>
            </w:pPr>
            <w:r>
              <w:rPr>
                <w:sz w:val="20"/>
                <w:szCs w:val="20"/>
              </w:rPr>
              <w:t xml:space="preserve">I-02</w:t>
            </w:r>
          </w:p>
        </w:tc>
        <w:tc>
          <w:tcPr>
            <w:shd w:fill="FFFFFF" w:val="clear"/>
          </w:tcPr>
          <w:p>
            <w:pPr>
              <w:spacing w:after="50" w:before="50"/>
              <w:jc w:val="left"/>
            </w:pPr>
            <w:r>
              <w:rPr>
                <w:sz w:val="20"/>
                <w:szCs w:val="20"/>
              </w:rPr>
              <w:t xml:space="preserve">Consumo per cápita operativo</w:t>
            </w:r>
          </w:p>
        </w:tc>
        <w:tc>
          <w:tcPr>
            <w:shd w:fill="FFFFFF" w:val="clear"/>
          </w:tcPr>
          <w:p>
            <w:pPr>
              <w:spacing w:after="50" w:before="50"/>
              <w:jc w:val="left"/>
            </w:pPr>
            <w:r>
              <w:rPr>
                <w:sz w:val="20"/>
                <w:szCs w:val="20"/>
              </w:rPr>
              <w:t xml:space="preserve">Volumen captado para uso doméstico (m³/mes) ÷ número de personas × 30 días</w:t>
            </w:r>
          </w:p>
        </w:tc>
        <w:tc>
          <w:tcPr>
            <w:shd w:fill="FFFFFF" w:val="clear"/>
          </w:tcPr>
          <w:p>
            <w:pPr>
              <w:spacing w:after="50" w:before="50"/>
              <w:jc w:val="left"/>
            </w:pPr>
            <w:r>
              <w:rPr>
                <w:sz w:val="20"/>
                <w:szCs w:val="20"/>
              </w:rPr>
              <w:t xml:space="preserve">L/persona/día</w:t>
            </w:r>
          </w:p>
        </w:tc>
        <w:tc>
          <w:tcPr>
            <w:shd w:fill="FFFFFF" w:val="clear"/>
          </w:tcPr>
          <w:p>
            <w:pPr>
              <w:spacing w:after="50" w:before="50"/>
              <w:jc w:val="left"/>
            </w:pPr>
            <w:r>
              <w:rPr>
                <w:sz w:val="20"/>
                <w:szCs w:val="20"/>
              </w:rPr>
              <w:t xml:space="preserve">172,8 L/persona/día (módulo CAS 0,002 L/s)</w:t>
            </w:r>
          </w:p>
        </w:tc>
        <w:tc>
          <w:tcPr>
            <w:shd w:fill="FFFFFF" w:val="clear"/>
          </w:tcPr>
          <w:p>
            <w:pPr>
              <w:spacing w:after="50" w:before="50"/>
              <w:jc w:val="left"/>
            </w:pPr>
            <w:r>
              <w:rPr>
                <w:sz w:val="20"/>
                <w:szCs w:val="20"/>
              </w:rPr>
              <w:t xml:space="preserve">≤ 155 L/persona/día (reducción ≥ 10 %)</w:t>
            </w:r>
          </w:p>
        </w:tc>
        <w:tc>
          <w:tcPr>
            <w:shd w:fill="FFFFFF" w:val="clear"/>
          </w:tcPr>
          <w:p>
            <w:pPr>
              <w:spacing w:after="50" w:before="50"/>
              <w:jc w:val="left"/>
            </w:pPr>
            <w:r>
              <w:rPr>
                <w:sz w:val="20"/>
                <w:szCs w:val="20"/>
              </w:rPr>
              <w:t xml:space="preserve">Mensual</w:t>
            </w:r>
          </w:p>
        </w:tc>
      </w:tr>
      <w:tr>
        <w:tc>
          <w:tcPr>
            <w:shd w:fill="F1F8F6" w:val="clear"/>
          </w:tcPr>
          <w:p>
            <w:pPr>
              <w:spacing w:after="50" w:before="50"/>
              <w:jc w:val="left"/>
            </w:pPr>
            <w:r>
              <w:rPr>
                <w:sz w:val="20"/>
                <w:szCs w:val="20"/>
              </w:rPr>
              <w:t xml:space="preserve">I-03</w:t>
            </w:r>
          </w:p>
        </w:tc>
        <w:tc>
          <w:tcPr>
            <w:shd w:fill="F1F8F6" w:val="clear"/>
          </w:tcPr>
          <w:p>
            <w:pPr>
              <w:spacing w:after="50" w:before="50"/>
              <w:jc w:val="left"/>
            </w:pPr>
            <w:r>
              <w:rPr>
                <w:sz w:val="20"/>
                <w:szCs w:val="20"/>
              </w:rPr>
              <w:t xml:space="preserve">Índice de aprovechamiento de agua lluvia</w:t>
            </w:r>
          </w:p>
        </w:tc>
        <w:tc>
          <w:tcPr>
            <w:shd w:fill="F1F8F6" w:val="clear"/>
          </w:tcPr>
          <w:p>
            <w:pPr>
              <w:spacing w:after="50" w:before="50"/>
              <w:jc w:val="left"/>
            </w:pPr>
            <w:r>
              <w:rPr>
                <w:sz w:val="20"/>
                <w:szCs w:val="20"/>
              </w:rPr>
              <w:t xml:space="preserve">(Volumen captado del reservorio en m³/mes ÷ Volumen total captado de todas las fuentes en m³/mes) × 100</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Por establecer en el primer semestre de operación monitorizada</w:t>
            </w:r>
          </w:p>
        </w:tc>
        <w:tc>
          <w:tcPr>
            <w:shd w:fill="F1F8F6" w:val="clear"/>
          </w:tcPr>
          <w:p>
            <w:pPr>
              <w:spacing w:after="50" w:before="50"/>
              <w:jc w:val="left"/>
            </w:pPr>
            <w:r>
              <w:rPr>
                <w:sz w:val="20"/>
                <w:szCs w:val="20"/>
              </w:rPr>
              <w:t xml:space="preserve">≥ 15 % del volumen total consumido</w:t>
            </w:r>
          </w:p>
        </w:tc>
        <w:tc>
          <w:tcPr>
            <w:shd w:fill="F1F8F6" w:val="clear"/>
          </w:tcPr>
          <w:p>
            <w:pPr>
              <w:spacing w:after="50" w:before="50"/>
              <w:jc w:val="left"/>
            </w:pPr>
            <w:r>
              <w:rPr>
                <w:sz w:val="20"/>
                <w:szCs w:val="20"/>
              </w:rPr>
              <w:t xml:space="preserve">Trimestral</w:t>
            </w:r>
          </w:p>
        </w:tc>
      </w:tr>
      <w:tr>
        <w:tc>
          <w:tcPr>
            <w:shd w:fill="FFFFFF" w:val="clear"/>
          </w:tcPr>
          <w:p>
            <w:pPr>
              <w:spacing w:after="50" w:before="50"/>
              <w:jc w:val="left"/>
            </w:pPr>
            <w:r>
              <w:rPr>
                <w:sz w:val="20"/>
                <w:szCs w:val="20"/>
              </w:rPr>
              <w:t xml:space="preserve">I-04</w:t>
            </w:r>
          </w:p>
        </w:tc>
        <w:tc>
          <w:tcPr>
            <w:shd w:fill="FFFFFF" w:val="clear"/>
          </w:tcPr>
          <w:p>
            <w:pPr>
              <w:spacing w:after="50" w:before="50"/>
              <w:jc w:val="left"/>
            </w:pPr>
            <w:r>
              <w:rPr>
                <w:sz w:val="20"/>
                <w:szCs w:val="20"/>
              </w:rPr>
              <w:t xml:space="preserve">Eficiencia del sistema de conducción</w:t>
            </w:r>
          </w:p>
        </w:tc>
        <w:tc>
          <w:tcPr>
            <w:shd w:fill="FFFFFF" w:val="clear"/>
          </w:tcPr>
          <w:p>
            <w:pPr>
              <w:spacing w:after="50" w:before="50"/>
              <w:jc w:val="left"/>
            </w:pPr>
            <w:r>
              <w:rPr>
                <w:sz w:val="20"/>
                <w:szCs w:val="20"/>
              </w:rPr>
              <w:t xml:space="preserve">((Volumen captado en pozo – Volumen medido en punto de uso) ÷ Volumen captado en pozo) × 100</w:t>
            </w:r>
          </w:p>
        </w:tc>
        <w:tc>
          <w:tcPr>
            <w:shd w:fill="FFFFFF" w:val="clear"/>
          </w:tcPr>
          <w:p>
            <w:pPr>
              <w:spacing w:after="50" w:before="50"/>
              <w:jc w:val="left"/>
            </w:pPr>
            <w:r>
              <w:rPr>
                <w:sz w:val="20"/>
                <w:szCs w:val="20"/>
              </w:rPr>
              <w:t xml:space="preserve">% pérdidas</w:t>
            </w:r>
          </w:p>
        </w:tc>
        <w:tc>
          <w:tcPr>
            <w:shd w:fill="FFFFFF" w:val="clear"/>
          </w:tcPr>
          <w:p>
            <w:pPr>
              <w:spacing w:after="50" w:before="50"/>
              <w:jc w:val="left"/>
            </w:pPr>
            <w:r>
              <w:rPr>
                <w:sz w:val="20"/>
                <w:szCs w:val="20"/>
              </w:rPr>
              <w:t xml:space="preserve">Por establecer tras instalación de medidores en puntos de uso</w:t>
            </w:r>
          </w:p>
        </w:tc>
        <w:tc>
          <w:tcPr>
            <w:shd w:fill="FFFFFF" w:val="clear"/>
          </w:tcPr>
          <w:p>
            <w:pPr>
              <w:spacing w:after="50" w:before="50"/>
              <w:jc w:val="left"/>
            </w:pPr>
            <w:r>
              <w:rPr>
                <w:sz w:val="20"/>
                <w:szCs w:val="20"/>
              </w:rPr>
              <w:t xml:space="preserve">≤ 5 % de pérdidas en red PVC de 4 pulgadas</w:t>
            </w:r>
          </w:p>
        </w:tc>
        <w:tc>
          <w:tcPr>
            <w:shd w:fill="FFFFFF" w:val="clear"/>
          </w:tcPr>
          <w:p>
            <w:pPr>
              <w:spacing w:after="50" w:before="50"/>
              <w:jc w:val="left"/>
            </w:pPr>
            <w:r>
              <w:rPr>
                <w:sz w:val="20"/>
                <w:szCs w:val="20"/>
              </w:rPr>
              <w:t xml:space="preserve">Semestral</w:t>
            </w:r>
          </w:p>
        </w:tc>
      </w:tr>
      <w:tr>
        <w:tc>
          <w:tcPr>
            <w:shd w:fill="F1F8F6" w:val="clear"/>
          </w:tcPr>
          <w:p>
            <w:pPr>
              <w:spacing w:after="50" w:before="50"/>
              <w:jc w:val="left"/>
            </w:pPr>
            <w:r>
              <w:rPr>
                <w:sz w:val="20"/>
                <w:szCs w:val="20"/>
              </w:rPr>
              <w:t xml:space="preserve">I-05</w:t>
            </w:r>
          </w:p>
        </w:tc>
        <w:tc>
          <w:tcPr>
            <w:shd w:fill="F1F8F6" w:val="clear"/>
          </w:tcPr>
          <w:p>
            <w:pPr>
              <w:spacing w:after="50" w:before="50"/>
              <w:jc w:val="left"/>
            </w:pPr>
            <w:r>
              <w:rPr>
                <w:sz w:val="20"/>
                <w:szCs w:val="20"/>
              </w:rPr>
              <w:t xml:space="preserve">Volumen almacenado vs. volumen consumido</w:t>
            </w:r>
          </w:p>
        </w:tc>
        <w:tc>
          <w:tcPr>
            <w:shd w:fill="F1F8F6" w:val="clear"/>
          </w:tcPr>
          <w:p>
            <w:pPr>
              <w:spacing w:after="50" w:before="50"/>
              <w:jc w:val="left"/>
            </w:pPr>
            <w:r>
              <w:rPr>
                <w:sz w:val="20"/>
                <w:szCs w:val="20"/>
              </w:rPr>
              <w:t xml:space="preserve">(Volumen almacenado en tanques en m³ ÷ Volumen consumido en m³/día) × 1</w:t>
            </w:r>
          </w:p>
        </w:tc>
        <w:tc>
          <w:tcPr>
            <w:shd w:fill="F1F8F6" w:val="clear"/>
          </w:tcPr>
          <w:p>
            <w:pPr>
              <w:spacing w:after="50" w:before="50"/>
              <w:jc w:val="left"/>
            </w:pPr>
            <w:r>
              <w:rPr>
                <w:sz w:val="20"/>
                <w:szCs w:val="20"/>
              </w:rPr>
              <w:t xml:space="preserve">Días de autonomía</w:t>
            </w:r>
          </w:p>
        </w:tc>
        <w:tc>
          <w:tcPr>
            <w:shd w:fill="F1F8F6" w:val="clear"/>
          </w:tcPr>
          <w:p>
            <w:pPr>
              <w:spacing w:after="50" w:before="50"/>
              <w:jc w:val="left"/>
            </w:pPr>
            <w:r>
              <w:rPr>
                <w:sz w:val="20"/>
                <w:szCs w:val="20"/>
              </w:rPr>
              <w:t xml:space="preserve">Capacidad instalada: 300 m³; consumo diario de referencia: 36,45 m³/día (4,219 L/s × 86.400 s ÷ 1.000)</w:t>
            </w:r>
          </w:p>
        </w:tc>
        <w:tc>
          <w:tcPr>
            <w:shd w:fill="F1F8F6" w:val="clear"/>
          </w:tcPr>
          <w:p>
            <w:pPr>
              <w:spacing w:after="50" w:before="50"/>
              <w:jc w:val="left"/>
            </w:pPr>
            <w:r>
              <w:rPr>
                <w:sz w:val="20"/>
                <w:szCs w:val="20"/>
              </w:rPr>
              <w:t xml:space="preserve">≥ 8 días de autonomía operativa</w:t>
            </w:r>
          </w:p>
        </w:tc>
        <w:tc>
          <w:tcPr>
            <w:shd w:fill="F1F8F6" w:val="clear"/>
          </w:tcPr>
          <w:p>
            <w:pPr>
              <w:spacing w:after="50" w:before="50"/>
              <w:jc w:val="left"/>
            </w:pPr>
            <w:r>
              <w:rPr>
                <w:sz w:val="20"/>
                <w:szCs w:val="20"/>
              </w:rPr>
              <w:t xml:space="preserve">Semestral</w:t>
            </w:r>
          </w:p>
        </w:tc>
      </w:tr>
      <w:tr>
        <w:tc>
          <w:tcPr>
            <w:shd w:fill="FFFFFF" w:val="clear"/>
          </w:tcPr>
          <w:p>
            <w:pPr>
              <w:spacing w:after="50" w:before="50"/>
              <w:jc w:val="left"/>
            </w:pPr>
            <w:r>
              <w:rPr>
                <w:sz w:val="20"/>
                <w:szCs w:val="20"/>
              </w:rPr>
              <w:t xml:space="preserve">I-06</w:t>
            </w:r>
          </w:p>
        </w:tc>
        <w:tc>
          <w:tcPr>
            <w:shd w:fill="FFFFFF" w:val="clear"/>
          </w:tcPr>
          <w:p>
            <w:pPr>
              <w:spacing w:after="50" w:before="50"/>
              <w:jc w:val="left"/>
            </w:pPr>
            <w:r>
              <w:rPr>
                <w:sz w:val="20"/>
                <w:szCs w:val="20"/>
              </w:rPr>
              <w:t xml:space="preserve">Volumen de agua empleado en desinfección vehicular y personal</w:t>
            </w:r>
          </w:p>
        </w:tc>
        <w:tc>
          <w:tcPr>
            <w:shd w:fill="FFFFFF" w:val="clear"/>
          </w:tcPr>
          <w:p>
            <w:pPr>
              <w:spacing w:after="50" w:before="50"/>
              <w:jc w:val="left"/>
            </w:pPr>
            <w:r>
              <w:rPr>
                <w:sz w:val="20"/>
                <w:szCs w:val="20"/>
              </w:rPr>
              <w:t xml:space="preserve">(Volumen real consumido en túnel y arco de desinfección en m³/mes ÷ Volumen total captado en m³/mes) × 100</w:t>
            </w:r>
          </w:p>
        </w:tc>
        <w:tc>
          <w:tcPr>
            <w:shd w:fill="FFFFFF" w:val="clear"/>
          </w:tcPr>
          <w:p>
            <w:pPr>
              <w:spacing w:after="50" w:before="50"/>
              <w:jc w:val="left"/>
            </w:pPr>
            <w:r>
              <w:rPr>
                <w:sz w:val="20"/>
                <w:szCs w:val="20"/>
              </w:rPr>
              <w:t xml:space="preserve">% del total captado</w:t>
            </w:r>
          </w:p>
        </w:tc>
        <w:tc>
          <w:tcPr>
            <w:shd w:fill="FFFFFF" w:val="clear"/>
          </w:tcPr>
          <w:p>
            <w:pPr>
              <w:spacing w:after="50" w:before="50"/>
              <w:jc w:val="left"/>
            </w:pPr>
            <w:r>
              <w:rPr>
                <w:sz w:val="20"/>
                <w:szCs w:val="20"/>
              </w:rPr>
              <w:t xml:space="preserve">Caudal de referencia combinado: 0,087 L/s (túnel + arco)</w:t>
            </w:r>
          </w:p>
        </w:tc>
        <w:tc>
          <w:tcPr>
            <w:shd w:fill="FFFFFF" w:val="clear"/>
          </w:tcPr>
          <w:p>
            <w:pPr>
              <w:spacing w:after="50" w:before="50"/>
              <w:jc w:val="left"/>
            </w:pPr>
            <w:r>
              <w:rPr>
                <w:sz w:val="20"/>
                <w:szCs w:val="20"/>
              </w:rPr>
              <w:t xml:space="preserve">≤ 2,1 % del total captado (sin incremento por encima del caudal base)</w:t>
            </w:r>
          </w:p>
        </w:tc>
        <w:tc>
          <w:tcPr>
            <w:shd w:fill="FFFFFF" w:val="clear"/>
          </w:tcPr>
          <w:p>
            <w:pPr>
              <w:spacing w:after="50" w:before="50"/>
              <w:jc w:val="left"/>
            </w:pPr>
            <w:r>
              <w:rPr>
                <w:sz w:val="20"/>
                <w:szCs w:val="20"/>
              </w:rPr>
              <w:t xml:space="preserve">Mensual</w:t>
            </w:r>
          </w:p>
        </w:tc>
      </w:tr>
      <w:tr>
        <w:tc>
          <w:tcPr>
            <w:shd w:fill="F1F8F6" w:val="clear"/>
          </w:tcPr>
          <w:p>
            <w:pPr>
              <w:spacing w:after="50" w:before="50"/>
              <w:jc w:val="left"/>
            </w:pPr>
            <w:r>
              <w:rPr>
                <w:sz w:val="20"/>
                <w:szCs w:val="20"/>
              </w:rPr>
              <w:t xml:space="preserve">I-07</w:t>
            </w:r>
          </w:p>
        </w:tc>
        <w:tc>
          <w:tcPr>
            <w:shd w:fill="F1F8F6" w:val="clear"/>
          </w:tcPr>
          <w:p>
            <w:pPr>
              <w:spacing w:after="50" w:before="50"/>
              <w:jc w:val="left"/>
            </w:pPr>
            <w:r>
              <w:rPr>
                <w:sz w:val="20"/>
                <w:szCs w:val="20"/>
              </w:rPr>
              <w:t xml:space="preserve">Cumplimiento del caudal concesionado</w:t>
            </w:r>
          </w:p>
        </w:tc>
        <w:tc>
          <w:tcPr>
            <w:shd w:fill="F1F8F6" w:val="clear"/>
          </w:tcPr>
          <w:p>
            <w:pPr>
              <w:spacing w:after="50" w:before="50"/>
              <w:jc w:val="left"/>
            </w:pPr>
            <w:r>
              <w:rPr>
                <w:sz w:val="20"/>
                <w:szCs w:val="20"/>
              </w:rPr>
              <w:t xml:space="preserve">(Caudal promedio mensual medido en L/s ÷ Caudal concesionado 4,219 L/s) × 100</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100 % (operar sin exceder el caudal otorgado)</w:t>
            </w:r>
          </w:p>
        </w:tc>
        <w:tc>
          <w:tcPr>
            <w:shd w:fill="F1F8F6" w:val="clear"/>
          </w:tcPr>
          <w:p>
            <w:pPr>
              <w:spacing w:after="50" w:before="50"/>
              <w:jc w:val="left"/>
            </w:pPr>
            <w:r>
              <w:rPr>
                <w:sz w:val="20"/>
                <w:szCs w:val="20"/>
              </w:rPr>
              <w:t xml:space="preserve">≤ 100 % en todos los períodos de medición</w:t>
            </w:r>
          </w:p>
        </w:tc>
        <w:tc>
          <w:tcPr>
            <w:shd w:fill="F1F8F6" w:val="clear"/>
          </w:tcPr>
          <w:p>
            <w:pPr>
              <w:spacing w:after="50" w:before="50"/>
              <w:jc w:val="left"/>
            </w:pPr>
            <w:r>
              <w:rPr>
                <w:sz w:val="20"/>
                <w:szCs w:val="20"/>
              </w:rPr>
              <w:t xml:space="preserve">Mensual</w:t>
            </w:r>
          </w:p>
        </w:tc>
      </w:tr>
    </w:tbl>
    <w:p>
      <w:pPr>
        <w:spacing w:after="180" w:before="60"/>
        <w:jc w:val="left"/>
      </w:pPr>
      <w:r>
        <w:rPr>
          <w:i/>
          <w:iCs/>
          <w:color w:val="777777"/>
          <w:sz w:val="16"/>
          <w:szCs w:val="16"/>
        </w:rPr>
        <w:t xml:space="preserve">Fuente. Elaboración propia con base en módulos CAS de la solicitud de concesión y datos de campo del levantamiento. Líneas base sujetas a ajuste en el primer informe semestral de seguimiento.</w:t>
      </w:r>
    </w:p>
    <w:p>
      <w:pPr>
        <w:spacing w:after="160" w:line="320"/>
        <w:jc w:val="both"/>
      </w:pPr>
      <w:r>
        <w:rPr>
          <w:sz w:val="22"/>
          <w:szCs w:val="22"/>
        </w:rPr>
        <w:t xml:space="preserve">El indicador I-01 constituye el parámetro rector del desempeño pecuario y se calcula de forma continua a partir de la lectura mensual del medidor instalado en el pozo, distribuida entre el inventario de aves en producción activa en los núcleos 1 y 2. La meta de mantenimiento del módulo CAS implica que cualquier incremento en el número de aves deberá estar acompañado de una solicitud de ajuste de caudal ante la autoridad, de modo que el consumo unitario no supere el valor de referencia aprobado. El indicador I-03 depende de la implementación del programa de aprovechamiento del reservorio de aguas lluvias y solo alcanzará su línea base definitiva una vez el reservorio entre en operación integrada con el sistema de medición.</w:t>
      </w:r>
    </w:p>
    <w:p>
      <w:pPr>
        <w:spacing w:after="160" w:line="320"/>
        <w:jc w:val="both"/>
      </w:pPr>
      <w:r>
        <w:rPr>
          <w:sz w:val="22"/>
          <w:szCs w:val="22"/>
        </w:rPr>
        <w:t xml:space="preserve">El indicador I-05 expresa la resiliencia operativa del proyecto frente a eventuales interrupciones del pozo profundo. Con una capacidad de almacenamiento de 300 m³ distribuidos en tres tanques de 100 m³ cada uno, y un consumo diario de referencia calculado como el producto del caudal total concesionado por los segundos del día (4,219 L/s × 86.400 s/día = 364.521,6 L/día ≈ 364,52 m³/día), la autonomía teórica a plena carga es de aproximadamente 0,82 días. Este resultado evidencia que la capacidad de almacenamiento actual está dimensionada para operar con suministro continuo del pozo, por lo que la meta de autonomía de ocho días requiere una estrategia de llenado progresivo en horas de menor demanda y el aprovechamiento del reservorio como volumen complementario. El seguimiento semestral de I-05 permite verificar si el régimen de llenado es consistente con la concesión otorgada.</w:t>
      </w:r>
    </w:p>
    <w:p>
      <w:pPr>
        <w:pStyle w:val="Heading2"/>
        <w:spacing w:after="140" w:before="240"/>
      </w:pPr>
      <w:r>
        <w:rPr>
          <w:b/>
          <w:bCs/>
          <w:color w:val="4A9D8E"/>
          <w:sz w:val="24"/>
          <w:szCs w:val="24"/>
        </w:rPr>
        <w:t xml:space="preserve">14.2. Cronograma general consolidado del PUEAA</w:t>
      </w:r>
    </w:p>
    <w:p>
      <w:pPr>
        <w:spacing w:after="160" w:line="320"/>
        <w:jc w:val="both"/>
      </w:pPr>
      <w:r>
        <w:rPr>
          <w:sz w:val="22"/>
          <w:szCs w:val="22"/>
        </w:rPr>
        <w:t xml:space="preserve">El cronograma consolida en un único instrumento todas las actividades del Programa, organizadas en cinco años a partir de la fecha de ejecutoria del acto administrativo de concesión. Las actividades del año 1 corresponden a la fase de arranque y establecimiento de líneas base; las de los años 2 y 3, a la implementación plena de las medidas de ahorro y la verificación de metas intermedias; y las de los años 4 y 5, a la consolidación, evaluación de impacto y formulación del ciclo de mejora continua para el período de renovación de la concesión. Los informes semestrales de seguimiento se radicarán ante la CAS dentro de los treinta días calendario siguientes al cierre de cada semestre.</w:t>
      </w:r>
    </w:p>
    <w:p>
      <w:pPr>
        <w:spacing w:after="90" w:before="220"/>
        <w:jc w:val="center"/>
      </w:pPr>
      <w:r>
        <w:rPr>
          <w:b/>
          <w:bCs/>
          <w:sz w:val="20"/>
          <w:szCs w:val="20"/>
        </w:rPr>
        <w:t xml:space="preserve">Tabla 29. Cronograma general del PUEAA — horizonte quinquenal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170"/>
        <w:gridCol w:w="1170"/>
        <w:gridCol w:w="1170"/>
        <w:gridCol w:w="1170"/>
        <w:gridCol w:w="1170"/>
        <w:gridCol w:w="1170"/>
        <w:gridCol w:w="1170"/>
        <w:gridCol w:w="1170"/>
      </w:tblGrid>
      <w:tr>
        <w:trPr>
          <w:tblHeader/>
        </w:trPr>
        <w:tc>
          <w:tcPr>
            <w:shd w:fill="4A9D8E" w:val="clear"/>
          </w:tcPr>
          <w:p>
            <w:pPr>
              <w:spacing w:after="50" w:before="50"/>
              <w:jc w:val="center"/>
            </w:pPr>
            <w:r>
              <w:rPr>
                <w:b/>
                <w:bCs/>
                <w:color w:val="FFFFFF"/>
                <w:sz w:val="20"/>
                <w:szCs w:val="20"/>
              </w:rPr>
              <w:t xml:space="preserve">Actividad / Componente</w:t>
            </w:r>
          </w:p>
        </w:tc>
        <w:tc>
          <w:tcPr>
            <w:shd w:fill="4A9D8E" w:val="clear"/>
          </w:tcPr>
          <w:p>
            <w:pPr>
              <w:spacing w:after="50" w:before="50"/>
              <w:jc w:val="center"/>
            </w:pPr>
            <w:r>
              <w:rPr>
                <w:b/>
                <w:bCs/>
                <w:color w:val="FFFFFF"/>
                <w:sz w:val="20"/>
                <w:szCs w:val="20"/>
              </w:rPr>
              <w:t xml:space="preserve">Responsable</w:t>
            </w:r>
          </w:p>
        </w:tc>
        <w:tc>
          <w:tcPr>
            <w:shd w:fill="4A9D8E" w:val="clear"/>
          </w:tcPr>
          <w:p>
            <w:pPr>
              <w:spacing w:after="50" w:before="50"/>
              <w:jc w:val="center"/>
            </w:pPr>
            <w:r>
              <w:rPr>
                <w:b/>
                <w:bCs/>
                <w:color w:val="FFFFFF"/>
                <w:sz w:val="20"/>
                <w:szCs w:val="20"/>
              </w:rPr>
              <w:t xml:space="preserve">Año 1</w:t>
            </w:r>
          </w:p>
        </w:tc>
        <w:tc>
          <w:tcPr>
            <w:shd w:fill="4A9D8E" w:val="clear"/>
          </w:tcPr>
          <w:p>
            <w:pPr>
              <w:spacing w:after="50" w:before="50"/>
              <w:jc w:val="center"/>
            </w:pPr>
            <w:r>
              <w:rPr>
                <w:b/>
                <w:bCs/>
                <w:color w:val="FFFFFF"/>
                <w:sz w:val="20"/>
                <w:szCs w:val="20"/>
              </w:rPr>
              <w:t xml:space="preserve">Año 2</w:t>
            </w:r>
          </w:p>
        </w:tc>
        <w:tc>
          <w:tcPr>
            <w:shd w:fill="4A9D8E" w:val="clear"/>
          </w:tcPr>
          <w:p>
            <w:pPr>
              <w:spacing w:after="50" w:before="50"/>
              <w:jc w:val="center"/>
            </w:pPr>
            <w:r>
              <w:rPr>
                <w:b/>
                <w:bCs/>
                <w:color w:val="FFFFFF"/>
                <w:sz w:val="20"/>
                <w:szCs w:val="20"/>
              </w:rPr>
              <w:t xml:space="preserve">Año 3</w:t>
            </w:r>
          </w:p>
        </w:tc>
        <w:tc>
          <w:tcPr>
            <w:shd w:fill="4A9D8E" w:val="clear"/>
          </w:tcPr>
          <w:p>
            <w:pPr>
              <w:spacing w:after="50" w:before="50"/>
              <w:jc w:val="center"/>
            </w:pPr>
            <w:r>
              <w:rPr>
                <w:b/>
                <w:bCs/>
                <w:color w:val="FFFFFF"/>
                <w:sz w:val="20"/>
                <w:szCs w:val="20"/>
              </w:rPr>
              <w:t xml:space="preserve">Año 4</w:t>
            </w:r>
          </w:p>
        </w:tc>
        <w:tc>
          <w:tcPr>
            <w:shd w:fill="4A9D8E" w:val="clear"/>
          </w:tcPr>
          <w:p>
            <w:pPr>
              <w:spacing w:after="50" w:before="50"/>
              <w:jc w:val="center"/>
            </w:pPr>
            <w:r>
              <w:rPr>
                <w:b/>
                <w:bCs/>
                <w:color w:val="FFFFFF"/>
                <w:sz w:val="20"/>
                <w:szCs w:val="20"/>
              </w:rPr>
              <w:t xml:space="preserve">Año 5</w:t>
            </w:r>
          </w:p>
        </w:tc>
        <w:tc>
          <w:tcPr>
            <w:shd w:fill="4A9D8E" w:val="clear"/>
          </w:tcPr>
          <w:p>
            <w:pPr>
              <w:spacing w:after="50" w:before="50"/>
              <w:jc w:val="center"/>
            </w:pPr>
            <w:r>
              <w:rPr>
                <w:b/>
                <w:bCs/>
                <w:color w:val="FFFFFF"/>
                <w:sz w:val="20"/>
                <w:szCs w:val="20"/>
              </w:rPr>
              <w:t xml:space="preserve">Producto / Entregable</w:t>
            </w:r>
          </w:p>
        </w:tc>
      </w:tr>
      <w:tr>
        <w:tc>
          <w:tcPr>
            <w:shd w:fill="F1F8F6" w:val="clear"/>
          </w:tcPr>
          <w:p>
            <w:pPr>
              <w:spacing w:after="50" w:before="50"/>
              <w:jc w:val="left"/>
            </w:pPr>
            <w:r>
              <w:rPr>
                <w:sz w:val="20"/>
                <w:szCs w:val="20"/>
              </w:rPr>
              <w:t xml:space="preserve">Lectura mensual del medidor de caudal en el pozo y registro en bitácora hídrica</w:t>
            </w:r>
          </w:p>
        </w:tc>
        <w:tc>
          <w:tcPr>
            <w:shd w:fill="F1F8F6" w:val="clear"/>
          </w:tcPr>
          <w:p>
            <w:pPr>
              <w:spacing w:after="50" w:before="50"/>
              <w:jc w:val="left"/>
            </w:pPr>
            <w:r>
              <w:rPr>
                <w:sz w:val="20"/>
                <w:szCs w:val="20"/>
              </w:rPr>
              <w:t xml:space="preserve">Ingeniero ambiental / Director de granja</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Base de datos de consumo mensual (12 registros/año)</w:t>
            </w:r>
          </w:p>
        </w:tc>
      </w:tr>
      <w:tr>
        <w:tc>
          <w:tcPr>
            <w:shd w:fill="FFFFFF" w:val="clear"/>
          </w:tcPr>
          <w:p>
            <w:pPr>
              <w:spacing w:after="50" w:before="50"/>
              <w:jc w:val="left"/>
            </w:pPr>
            <w:r>
              <w:rPr>
                <w:sz w:val="20"/>
                <w:szCs w:val="20"/>
              </w:rPr>
              <w:t xml:space="preserve">Cálculo trimestral de indicadores I-01 a I-07 y ajuste de metas</w:t>
            </w:r>
          </w:p>
        </w:tc>
        <w:tc>
          <w:tcPr>
            <w:shd w:fill="FFFFFF" w:val="clear"/>
          </w:tcPr>
          <w:p>
            <w:pPr>
              <w:spacing w:after="50" w:before="50"/>
              <w:jc w:val="left"/>
            </w:pPr>
            <w:r>
              <w:rPr>
                <w:sz w:val="20"/>
                <w:szCs w:val="20"/>
              </w:rPr>
              <w:t xml:space="preserve">Ingeniero ambiental</w:t>
            </w:r>
          </w:p>
        </w:tc>
        <w:tc>
          <w:tcPr>
            <w:shd w:fill="FFFFFF" w:val="clear"/>
          </w:tcPr>
          <w:p>
            <w:pPr>
              <w:spacing w:after="50" w:before="50"/>
              <w:jc w:val="left"/>
            </w:pPr>
            <w:r>
              <w:rPr>
                <w:sz w:val="20"/>
                <w:szCs w:val="20"/>
              </w:rPr>
              <w:t xml:space="preserve">T1–T4</w:t>
            </w:r>
          </w:p>
        </w:tc>
        <w:tc>
          <w:tcPr>
            <w:shd w:fill="FFFFFF" w:val="clear"/>
          </w:tcPr>
          <w:p>
            <w:pPr>
              <w:spacing w:after="50" w:before="50"/>
              <w:jc w:val="left"/>
            </w:pPr>
            <w:r>
              <w:rPr>
                <w:sz w:val="20"/>
                <w:szCs w:val="20"/>
              </w:rPr>
              <w:t xml:space="preserve">T1–T4</w:t>
            </w:r>
          </w:p>
        </w:tc>
        <w:tc>
          <w:tcPr>
            <w:shd w:fill="FFFFFF" w:val="clear"/>
          </w:tcPr>
          <w:p>
            <w:pPr>
              <w:spacing w:after="50" w:before="50"/>
              <w:jc w:val="left"/>
            </w:pPr>
            <w:r>
              <w:rPr>
                <w:sz w:val="20"/>
                <w:szCs w:val="20"/>
              </w:rPr>
              <w:t xml:space="preserve">T1–T4</w:t>
            </w:r>
          </w:p>
        </w:tc>
        <w:tc>
          <w:tcPr>
            <w:shd w:fill="FFFFFF" w:val="clear"/>
          </w:tcPr>
          <w:p>
            <w:pPr>
              <w:spacing w:after="50" w:before="50"/>
              <w:jc w:val="left"/>
            </w:pPr>
            <w:r>
              <w:rPr>
                <w:sz w:val="20"/>
                <w:szCs w:val="20"/>
              </w:rPr>
              <w:t xml:space="preserve">T1–T4</w:t>
            </w:r>
          </w:p>
        </w:tc>
        <w:tc>
          <w:tcPr>
            <w:shd w:fill="FFFFFF" w:val="clear"/>
          </w:tcPr>
          <w:p>
            <w:pPr>
              <w:spacing w:after="50" w:before="50"/>
              <w:jc w:val="left"/>
            </w:pPr>
            <w:r>
              <w:rPr>
                <w:sz w:val="20"/>
                <w:szCs w:val="20"/>
              </w:rPr>
              <w:t xml:space="preserve">T1–T4</w:t>
            </w:r>
          </w:p>
        </w:tc>
        <w:tc>
          <w:tcPr>
            <w:shd w:fill="FFFFFF" w:val="clear"/>
          </w:tcPr>
          <w:p>
            <w:pPr>
              <w:spacing w:after="50" w:before="50"/>
              <w:jc w:val="left"/>
            </w:pPr>
            <w:r>
              <w:rPr>
                <w:sz w:val="20"/>
                <w:szCs w:val="20"/>
              </w:rPr>
              <w:t xml:space="preserve">Ficha de indicadores trimestrales</w:t>
            </w:r>
          </w:p>
        </w:tc>
      </w:tr>
      <w:tr>
        <w:tc>
          <w:tcPr>
            <w:shd w:fill="F1F8F6" w:val="clear"/>
          </w:tcPr>
          <w:p>
            <w:pPr>
              <w:spacing w:after="50" w:before="50"/>
              <w:jc w:val="left"/>
            </w:pPr>
            <w:r>
              <w:rPr>
                <w:sz w:val="20"/>
                <w:szCs w:val="20"/>
              </w:rPr>
              <w:t xml:space="preserve">Instalación de medidores secundarios en puntos de uso (galpones Núcleo 1 y Núcleo 2 operativos)</w:t>
            </w:r>
          </w:p>
        </w:tc>
        <w:tc>
          <w:tcPr>
            <w:shd w:fill="F1F8F6" w:val="clear"/>
          </w:tcPr>
          <w:p>
            <w:pPr>
              <w:spacing w:after="50" w:before="50"/>
              <w:jc w:val="left"/>
            </w:pPr>
            <w:r>
              <w:rPr>
                <w:sz w:val="20"/>
                <w:szCs w:val="20"/>
              </w:rPr>
              <w:t xml:space="preserve">Contratista especializado</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Certificado de instalación y calibración</w:t>
            </w:r>
          </w:p>
        </w:tc>
      </w:tr>
      <w:tr>
        <w:tc>
          <w:tcPr>
            <w:shd w:fill="FFFFFF" w:val="clear"/>
          </w:tcPr>
          <w:p>
            <w:pPr>
              <w:spacing w:after="50" w:before="50"/>
              <w:jc w:val="left"/>
            </w:pPr>
            <w:r>
              <w:rPr>
                <w:sz w:val="20"/>
                <w:szCs w:val="20"/>
              </w:rPr>
              <w:t xml:space="preserve">Establecimiento de línea base de indicadores I-03, I-04 e I-05</w:t>
            </w:r>
          </w:p>
        </w:tc>
        <w:tc>
          <w:tcPr>
            <w:shd w:fill="FFFFFF" w:val="clear"/>
          </w:tcPr>
          <w:p>
            <w:pPr>
              <w:spacing w:after="50" w:before="50"/>
              <w:jc w:val="left"/>
            </w:pPr>
            <w:r>
              <w:rPr>
                <w:sz w:val="20"/>
                <w:szCs w:val="20"/>
              </w:rPr>
              <w:t xml:space="preserve">Ingeniero ambiental</w:t>
            </w:r>
          </w:p>
        </w:tc>
        <w:tc>
          <w:tcPr>
            <w:shd w:fill="FFFFFF" w:val="clear"/>
          </w:tcPr>
          <w:p>
            <w:pPr>
              <w:spacing w:after="50" w:before="50"/>
              <w:jc w:val="left"/>
            </w:pPr>
            <w:r>
              <w:rPr>
                <w:sz w:val="20"/>
                <w:szCs w:val="20"/>
              </w:rPr>
              <w:t xml:space="preserve">S2</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Informe de línea base</w:t>
            </w:r>
          </w:p>
        </w:tc>
      </w:tr>
      <w:tr>
        <w:tc>
          <w:tcPr>
            <w:shd w:fill="F1F8F6" w:val="clear"/>
          </w:tcPr>
          <w:p>
            <w:pPr>
              <w:spacing w:after="50" w:before="50"/>
              <w:jc w:val="left"/>
            </w:pPr>
            <w:r>
              <w:rPr>
                <w:sz w:val="20"/>
                <w:szCs w:val="20"/>
              </w:rPr>
              <w:t xml:space="preserve">Implementación de programa de mantenimiento preventivo de red PVC (detección de fugas)</w:t>
            </w:r>
          </w:p>
        </w:tc>
        <w:tc>
          <w:tcPr>
            <w:shd w:fill="F1F8F6" w:val="clear"/>
          </w:tcPr>
          <w:p>
            <w:pPr>
              <w:spacing w:after="50" w:before="50"/>
              <w:jc w:val="left"/>
            </w:pPr>
            <w:r>
              <w:rPr>
                <w:sz w:val="20"/>
                <w:szCs w:val="20"/>
              </w:rPr>
              <w:t xml:space="preserve">Director de mantenimiento</w:t>
            </w:r>
          </w:p>
        </w:tc>
        <w:tc>
          <w:tcPr>
            <w:shd w:fill="F1F8F6" w:val="clear"/>
          </w:tcPr>
          <w:p>
            <w:pPr>
              <w:spacing w:after="50" w:before="50"/>
              <w:jc w:val="left"/>
            </w:pPr>
            <w:r>
              <w:rPr>
                <w:sz w:val="20"/>
                <w:szCs w:val="20"/>
              </w:rPr>
              <w:t xml:space="preserve">S2</w:t>
            </w:r>
          </w:p>
        </w:tc>
        <w:tc>
          <w:tcPr>
            <w:shd w:fill="F1F8F6" w:val="clear"/>
          </w:tcPr>
          <w:p>
            <w:pPr>
              <w:spacing w:after="50" w:before="50"/>
              <w:jc w:val="left"/>
            </w:pPr>
            <w:r>
              <w:rPr>
                <w:sz w:val="20"/>
                <w:szCs w:val="20"/>
              </w:rPr>
              <w:t xml:space="preserve">S1–S2</w:t>
            </w:r>
          </w:p>
        </w:tc>
        <w:tc>
          <w:tcPr>
            <w:shd w:fill="F1F8F6" w:val="clear"/>
          </w:tcPr>
          <w:p>
            <w:pPr>
              <w:spacing w:after="50" w:before="50"/>
              <w:jc w:val="left"/>
            </w:pPr>
            <w:r>
              <w:rPr>
                <w:sz w:val="20"/>
                <w:szCs w:val="20"/>
              </w:rPr>
              <w:t xml:space="preserve">S1–S2</w:t>
            </w:r>
          </w:p>
        </w:tc>
        <w:tc>
          <w:tcPr>
            <w:shd w:fill="F1F8F6" w:val="clear"/>
          </w:tcPr>
          <w:p>
            <w:pPr>
              <w:spacing w:after="50" w:before="50"/>
              <w:jc w:val="left"/>
            </w:pPr>
            <w:r>
              <w:rPr>
                <w:sz w:val="20"/>
                <w:szCs w:val="20"/>
              </w:rPr>
              <w:t xml:space="preserve">S1–S2</w:t>
            </w:r>
          </w:p>
        </w:tc>
        <w:tc>
          <w:tcPr>
            <w:shd w:fill="F1F8F6" w:val="clear"/>
          </w:tcPr>
          <w:p>
            <w:pPr>
              <w:spacing w:after="50" w:before="50"/>
              <w:jc w:val="left"/>
            </w:pPr>
            <w:r>
              <w:rPr>
                <w:sz w:val="20"/>
                <w:szCs w:val="20"/>
              </w:rPr>
              <w:t xml:space="preserve">S1–S2</w:t>
            </w:r>
          </w:p>
        </w:tc>
        <w:tc>
          <w:tcPr>
            <w:shd w:fill="F1F8F6" w:val="clear"/>
          </w:tcPr>
          <w:p>
            <w:pPr>
              <w:spacing w:after="50" w:before="50"/>
              <w:jc w:val="left"/>
            </w:pPr>
            <w:r>
              <w:rPr>
                <w:sz w:val="20"/>
                <w:szCs w:val="20"/>
              </w:rPr>
              <w:t xml:space="preserve">Registro de mantenimiento preventivo semestral</w:t>
            </w:r>
          </w:p>
        </w:tc>
      </w:tr>
      <w:tr>
        <w:tc>
          <w:tcPr>
            <w:shd w:fill="FFFFFF" w:val="clear"/>
          </w:tcPr>
          <w:p>
            <w:pPr>
              <w:spacing w:after="50" w:before="50"/>
              <w:jc w:val="left"/>
            </w:pPr>
            <w:r>
              <w:rPr>
                <w:sz w:val="20"/>
                <w:szCs w:val="20"/>
              </w:rPr>
              <w:t xml:space="preserve">Integración operativa del reservorio de aguas lluvias al balance hídrico del proyecto</w:t>
            </w:r>
          </w:p>
        </w:tc>
        <w:tc>
          <w:tcPr>
            <w:shd w:fill="FFFFFF" w:val="clear"/>
          </w:tcPr>
          <w:p>
            <w:pPr>
              <w:spacing w:after="50" w:before="50"/>
              <w:jc w:val="left"/>
            </w:pPr>
            <w:r>
              <w:rPr>
                <w:sz w:val="20"/>
                <w:szCs w:val="20"/>
              </w:rPr>
              <w:t xml:space="preserve">Ingeniero ambiental / Operaciones</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S1</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Protocolo de operación del reservorio</w:t>
            </w:r>
          </w:p>
        </w:tc>
      </w:tr>
      <w:tr>
        <w:tc>
          <w:tcPr>
            <w:shd w:fill="F1F8F6" w:val="clear"/>
          </w:tcPr>
          <w:p>
            <w:pPr>
              <w:spacing w:after="50" w:before="50"/>
              <w:jc w:val="left"/>
            </w:pPr>
            <w:r>
              <w:rPr>
                <w:sz w:val="20"/>
                <w:szCs w:val="20"/>
              </w:rPr>
              <w:t xml:space="preserve">Capacitación al personal operativo en uso eficiente del agua y protocolos de desinfección</w:t>
            </w:r>
          </w:p>
        </w:tc>
        <w:tc>
          <w:tcPr>
            <w:shd w:fill="F1F8F6" w:val="clear"/>
          </w:tcPr>
          <w:p>
            <w:pPr>
              <w:spacing w:after="50" w:before="50"/>
              <w:jc w:val="left"/>
            </w:pPr>
            <w:r>
              <w:rPr>
                <w:sz w:val="20"/>
                <w:szCs w:val="20"/>
              </w:rPr>
              <w:t xml:space="preserve">Área de HSE / Ingeniero ambiental</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S1</w:t>
            </w:r>
          </w:p>
        </w:tc>
        <w:tc>
          <w:tcPr>
            <w:shd w:fill="F1F8F6" w:val="clear"/>
          </w:tcPr>
          <w:p>
            <w:pPr>
              <w:spacing w:after="50" w:before="50"/>
              <w:jc w:val="left"/>
            </w:pPr>
            <w:r>
              <w:rPr>
                <w:sz w:val="20"/>
                <w:szCs w:val="20"/>
              </w:rPr>
              <w:t xml:space="preserve">Registros de asistencia y evaluación</w:t>
            </w:r>
          </w:p>
        </w:tc>
      </w:tr>
      <w:tr>
        <w:tc>
          <w:tcPr>
            <w:shd w:fill="FFFFFF" w:val="clear"/>
          </w:tcPr>
          <w:p>
            <w:pPr>
              <w:spacing w:after="50" w:before="50"/>
              <w:jc w:val="left"/>
            </w:pPr>
            <w:r>
              <w:rPr>
                <w:sz w:val="20"/>
                <w:szCs w:val="20"/>
              </w:rPr>
              <w:t xml:space="preserve">Radicación de informe semestral de seguimiento del PUEAA ante la CAS</w:t>
            </w:r>
          </w:p>
        </w:tc>
        <w:tc>
          <w:tcPr>
            <w:shd w:fill="FFFFFF" w:val="clear"/>
          </w:tcPr>
          <w:p>
            <w:pPr>
              <w:spacing w:after="50" w:before="50"/>
              <w:jc w:val="left"/>
            </w:pPr>
            <w:r>
              <w:rPr>
                <w:sz w:val="20"/>
                <w:szCs w:val="20"/>
              </w:rPr>
              <w:t xml:space="preserve">Representante legal / Ingeniero ambiental</w:t>
            </w:r>
          </w:p>
        </w:tc>
        <w:tc>
          <w:tcPr>
            <w:shd w:fill="FFFFFF" w:val="clear"/>
          </w:tcPr>
          <w:p>
            <w:pPr>
              <w:spacing w:after="50" w:before="50"/>
              <w:jc w:val="left"/>
            </w:pPr>
            <w:r>
              <w:rPr>
                <w:sz w:val="20"/>
                <w:szCs w:val="20"/>
              </w:rPr>
              <w:t xml:space="preserve">S1–S2</w:t>
            </w:r>
          </w:p>
        </w:tc>
        <w:tc>
          <w:tcPr>
            <w:shd w:fill="FFFFFF" w:val="clear"/>
          </w:tcPr>
          <w:p>
            <w:pPr>
              <w:spacing w:after="50" w:before="50"/>
              <w:jc w:val="left"/>
            </w:pPr>
            <w:r>
              <w:rPr>
                <w:sz w:val="20"/>
                <w:szCs w:val="20"/>
              </w:rPr>
              <w:t xml:space="preserve">S1–S2</w:t>
            </w:r>
          </w:p>
        </w:tc>
        <w:tc>
          <w:tcPr>
            <w:shd w:fill="FFFFFF" w:val="clear"/>
          </w:tcPr>
          <w:p>
            <w:pPr>
              <w:spacing w:after="50" w:before="50"/>
              <w:jc w:val="left"/>
            </w:pPr>
            <w:r>
              <w:rPr>
                <w:sz w:val="20"/>
                <w:szCs w:val="20"/>
              </w:rPr>
              <w:t xml:space="preserve">S1–S2</w:t>
            </w:r>
          </w:p>
        </w:tc>
        <w:tc>
          <w:tcPr>
            <w:shd w:fill="FFFFFF" w:val="clear"/>
          </w:tcPr>
          <w:p>
            <w:pPr>
              <w:spacing w:after="50" w:before="50"/>
              <w:jc w:val="left"/>
            </w:pPr>
            <w:r>
              <w:rPr>
                <w:sz w:val="20"/>
                <w:szCs w:val="20"/>
              </w:rPr>
              <w:t xml:space="preserve">S1–S2</w:t>
            </w:r>
          </w:p>
        </w:tc>
        <w:tc>
          <w:tcPr>
            <w:shd w:fill="FFFFFF" w:val="clear"/>
          </w:tcPr>
          <w:p>
            <w:pPr>
              <w:spacing w:after="50" w:before="50"/>
              <w:jc w:val="left"/>
            </w:pPr>
            <w:r>
              <w:rPr>
                <w:sz w:val="20"/>
                <w:szCs w:val="20"/>
              </w:rPr>
              <w:t xml:space="preserve">S1–S2</w:t>
            </w:r>
          </w:p>
        </w:tc>
        <w:tc>
          <w:tcPr>
            <w:shd w:fill="FFFFFF" w:val="clear"/>
          </w:tcPr>
          <w:p>
            <w:pPr>
              <w:spacing w:after="50" w:before="50"/>
              <w:jc w:val="left"/>
            </w:pPr>
            <w:r>
              <w:rPr>
                <w:sz w:val="20"/>
                <w:szCs w:val="20"/>
              </w:rPr>
              <w:t xml:space="preserve">Oficio radicado ante la CAS con soportes</w:t>
            </w:r>
          </w:p>
        </w:tc>
      </w:tr>
      <w:tr>
        <w:tc>
          <w:tcPr>
            <w:shd w:fill="F1F8F6" w:val="clear"/>
          </w:tcPr>
          <w:p>
            <w:pPr>
              <w:spacing w:after="50" w:before="50"/>
              <w:jc w:val="left"/>
            </w:pPr>
            <w:r>
              <w:rPr>
                <w:sz w:val="20"/>
                <w:szCs w:val="20"/>
              </w:rPr>
              <w:t xml:space="preserve">Evaluación de metas intermedias y ajuste del Programa (revisión bienal)</w:t>
            </w:r>
          </w:p>
        </w:tc>
        <w:tc>
          <w:tcPr>
            <w:shd w:fill="F1F8F6" w:val="clear"/>
          </w:tcPr>
          <w:p>
            <w:pPr>
              <w:spacing w:after="50" w:before="50"/>
              <w:jc w:val="left"/>
            </w:pPr>
            <w:r>
              <w:rPr>
                <w:sz w:val="20"/>
                <w:szCs w:val="20"/>
              </w:rPr>
              <w:t xml:space="preserve">Ingeniero ambiental</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S2</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S2</w:t>
            </w:r>
          </w:p>
        </w:tc>
        <w:tc>
          <w:tcPr>
            <w:shd w:fill="F1F8F6" w:val="clear"/>
          </w:tcPr>
          <w:p>
            <w:pPr>
              <w:spacing w:after="50" w:before="50"/>
              <w:jc w:val="left"/>
            </w:pPr>
            <w:r>
              <w:rPr>
                <w:sz w:val="20"/>
                <w:szCs w:val="20"/>
              </w:rPr>
              <w:t xml:space="preserve">—</w:t>
            </w:r>
          </w:p>
        </w:tc>
        <w:tc>
          <w:tcPr>
            <w:shd w:fill="F1F8F6" w:val="clear"/>
          </w:tcPr>
          <w:p>
            <w:pPr>
              <w:spacing w:after="50" w:before="50"/>
              <w:jc w:val="left"/>
            </w:pPr>
            <w:r>
              <w:rPr>
                <w:sz w:val="20"/>
                <w:szCs w:val="20"/>
              </w:rPr>
              <w:t xml:space="preserve">Informe de evaluación bienal con plan de mejora</w:t>
            </w:r>
          </w:p>
        </w:tc>
      </w:tr>
      <w:tr>
        <w:tc>
          <w:tcPr>
            <w:shd w:fill="FFFFFF" w:val="clear"/>
          </w:tcPr>
          <w:p>
            <w:pPr>
              <w:spacing w:after="50" w:before="50"/>
              <w:jc w:val="left"/>
            </w:pPr>
            <w:r>
              <w:rPr>
                <w:sz w:val="20"/>
                <w:szCs w:val="20"/>
              </w:rPr>
              <w:t xml:space="preserve">Actualización y renovación del PUEAA para nuevo ciclo de concesión</w:t>
            </w:r>
          </w:p>
        </w:tc>
        <w:tc>
          <w:tcPr>
            <w:shd w:fill="FFFFFF" w:val="clear"/>
          </w:tcPr>
          <w:p>
            <w:pPr>
              <w:spacing w:after="50" w:before="50"/>
              <w:jc w:val="left"/>
            </w:pPr>
            <w:r>
              <w:rPr>
                <w:sz w:val="20"/>
                <w:szCs w:val="20"/>
              </w:rPr>
              <w:t xml:space="preserve">Ingeniero ambiental / Representante legal</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w:t>
            </w:r>
          </w:p>
        </w:tc>
        <w:tc>
          <w:tcPr>
            <w:shd w:fill="FFFFFF" w:val="clear"/>
          </w:tcPr>
          <w:p>
            <w:pPr>
              <w:spacing w:after="50" w:before="50"/>
              <w:jc w:val="left"/>
            </w:pPr>
            <w:r>
              <w:rPr>
                <w:sz w:val="20"/>
                <w:szCs w:val="20"/>
              </w:rPr>
              <w:t xml:space="preserve">S2</w:t>
            </w:r>
          </w:p>
        </w:tc>
        <w:tc>
          <w:tcPr>
            <w:shd w:fill="FFFFFF" w:val="clear"/>
          </w:tcPr>
          <w:p>
            <w:pPr>
              <w:spacing w:after="50" w:before="50"/>
              <w:jc w:val="left"/>
            </w:pPr>
            <w:r>
              <w:rPr>
                <w:sz w:val="20"/>
                <w:szCs w:val="20"/>
              </w:rPr>
              <w:t xml:space="preserve">Nuevo documento PUEAA radicado ante la CAS</w:t>
            </w:r>
          </w:p>
        </w:tc>
      </w:tr>
    </w:tbl>
    <w:p>
      <w:pPr>
        <w:spacing w:after="180" w:before="60"/>
        <w:jc w:val="left"/>
      </w:pPr>
      <w:r>
        <w:rPr>
          <w:i/>
          <w:iCs/>
          <w:color w:val="777777"/>
          <w:sz w:val="16"/>
          <w:szCs w:val="16"/>
        </w:rPr>
        <w:t xml:space="preserve">Fuente. Elaboración propia. S1: primer semestre del año correspondiente. S2: segundo semestre. T1–T4: cuatro trimestres del año. ●: mes de ejecución continua. El año 1 inicia en la fecha de ejecutoria del acto administrativo de concesión.</w:t>
      </w:r>
    </w:p>
    <w:p>
      <w:pPr>
        <w:spacing w:after="160" w:line="320"/>
        <w:jc w:val="both"/>
      </w:pPr>
      <w:r>
        <w:rPr>
          <w:sz w:val="22"/>
          <w:szCs w:val="22"/>
        </w:rPr>
        <w:t xml:space="preserve">El cumplimiento del cronograma es responsabilidad de AVSA SA en calidad de titular de la concesión. Ante la CAS, el incumplimiento de dos informes semestrales consecutivos o la superación reiterada del caudal concesionado constituyen causales de revisión del acto administrativo. El sistema de medición existente en el punto de captación del pozo provee la trazabilidad mínima requerida desde el inicio del Programa; la instalación de los medidores secundarios en el año 1 permitirá desagregar el consumo por uso y validar el cálculo del indicador de pérdidas I-04, cerrando así el ciclo de control que exige el régimen del Decreto 1090 de 2018.</w:t>
      </w:r>
    </w:p>
    <w:p>
      <w:r>
        <w:br w:type="page"/>
      </w:r>
    </w:p>
    <w:p>
      <w:pPr>
        <w:pStyle w:val="Heading1"/>
        <w:spacing w:after="200" w:before="360"/>
      </w:pPr>
      <w:r>
        <w:rPr>
          <w:b/>
          <w:bCs/>
          <w:color w:val="1F2937"/>
          <w:sz w:val="28"/>
          <w:szCs w:val="28"/>
        </w:rPr>
        <w:t xml:space="preserve">15. RESPONSABLE, SEGUIMIENTO Y MONITOREO</w:t>
      </w:r>
    </w:p>
    <w:p>
      <w:pPr>
        <w:pStyle w:val="Heading2"/>
        <w:spacing w:after="140" w:before="240"/>
      </w:pPr>
      <w:r>
        <w:rPr>
          <w:b/>
          <w:bCs/>
          <w:color w:val="4A9D8E"/>
          <w:sz w:val="24"/>
          <w:szCs w:val="24"/>
        </w:rPr>
        <w:t xml:space="preserve">15.1. Responsable de la implementación</w:t>
      </w:r>
    </w:p>
    <w:p>
      <w:pPr>
        <w:spacing w:after="160" w:line="320"/>
        <w:jc w:val="both"/>
      </w:pPr>
      <w:r>
        <w:rPr>
          <w:sz w:val="22"/>
          <w:szCs w:val="22"/>
        </w:rPr>
        <w:t xml:space="preserve">La responsabilidad directa sobre la implementación, seguimiento y actualización del presente Programa para el Uso Eficiente y Ahorro del Agua recae sobre AVSA SA en su calidad de titular de la concesión. La representante legal, MARIA ISABEL MONTAÑEZ CAMARGO, asume la responsabilidad administrativa y legal del cumplimiento de los compromisos derivados de este instrumento. Para la gestión operativa cotidiana, el titular designa un responsable ambiental interno —funcionario con formación técnica o profesional en ciencias ambientales, ingeniería ambiental, ingeniería agroindustrial o afines— cuyas funciones se detallan en la tabla siguiente. Dicho cargo debe constar en la estructura organizacional de la Granja Avícola Jamaica y su designación debe ser comunicada por escrito a la CAS dentro de los treinta (30) días calendario siguientes a la ejecutoria del acto administrativo que otorgue la concesión.</w:t>
      </w:r>
    </w:p>
    <w:p>
      <w:pPr>
        <w:spacing w:after="90" w:before="220"/>
        <w:jc w:val="center"/>
      </w:pPr>
      <w:r>
        <w:rPr>
          <w:b/>
          <w:bCs/>
          <w:sz w:val="20"/>
          <w:szCs w:val="20"/>
        </w:rPr>
        <w:t xml:space="preserve">Tabla 30. Responsable ambiental del PUEAA — funciones y alcance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shd w:fill="4A9D8E" w:val="clear"/>
          </w:tcPr>
          <w:p>
            <w:pPr>
              <w:spacing w:after="50" w:before="50"/>
              <w:jc w:val="center"/>
            </w:pPr>
            <w:r>
              <w:rPr>
                <w:b/>
                <w:bCs/>
                <w:color w:val="FFFFFF"/>
                <w:sz w:val="20"/>
                <w:szCs w:val="20"/>
              </w:rPr>
              <w:t xml:space="preserve">Función</w:t>
            </w:r>
          </w:p>
        </w:tc>
        <w:tc>
          <w:tcPr>
            <w:shd w:fill="4A9D8E" w:val="clear"/>
          </w:tcPr>
          <w:p>
            <w:pPr>
              <w:spacing w:after="50" w:before="50"/>
              <w:jc w:val="center"/>
            </w:pPr>
            <w:r>
              <w:rPr>
                <w:b/>
                <w:bCs/>
                <w:color w:val="FFFFFF"/>
                <w:sz w:val="20"/>
                <w:szCs w:val="20"/>
              </w:rPr>
              <w:t xml:space="preserve">Descripción</w:t>
            </w:r>
          </w:p>
        </w:tc>
        <w:tc>
          <w:tcPr>
            <w:shd w:fill="4A9D8E" w:val="clear"/>
          </w:tcPr>
          <w:p>
            <w:pPr>
              <w:spacing w:after="50" w:before="50"/>
              <w:jc w:val="center"/>
            </w:pPr>
            <w:r>
              <w:rPr>
                <w:b/>
                <w:bCs/>
                <w:color w:val="FFFFFF"/>
                <w:sz w:val="20"/>
                <w:szCs w:val="20"/>
              </w:rPr>
              <w:t xml:space="preserve">Periodicidad</w:t>
            </w:r>
          </w:p>
        </w:tc>
      </w:tr>
      <w:tr>
        <w:tc>
          <w:tcPr>
            <w:shd w:fill="F1F8F6" w:val="clear"/>
          </w:tcPr>
          <w:p>
            <w:pPr>
              <w:spacing w:after="50" w:before="50"/>
              <w:jc w:val="left"/>
            </w:pPr>
            <w:r>
              <w:rPr>
                <w:sz w:val="20"/>
                <w:szCs w:val="20"/>
              </w:rPr>
              <w:t xml:space="preserve">Control de consumos</w:t>
            </w:r>
          </w:p>
        </w:tc>
        <w:tc>
          <w:tcPr>
            <w:shd w:fill="F1F8F6" w:val="clear"/>
          </w:tcPr>
          <w:p>
            <w:pPr>
              <w:spacing w:after="50" w:before="50"/>
              <w:jc w:val="left"/>
            </w:pPr>
            <w:r>
              <w:rPr>
                <w:sz w:val="20"/>
                <w:szCs w:val="20"/>
              </w:rPr>
              <w:t xml:space="preserve">Lectura, registro y verificación del medidor de caudal instalado en el punto de captación del pozo profundo y del reservorio de aguas lluvias.</w:t>
            </w:r>
          </w:p>
        </w:tc>
        <w:tc>
          <w:tcPr>
            <w:shd w:fill="F1F8F6" w:val="clear"/>
          </w:tcPr>
          <w:p>
            <w:pPr>
              <w:spacing w:after="50" w:before="50"/>
              <w:jc w:val="left"/>
            </w:pPr>
            <w:r>
              <w:rPr>
                <w:sz w:val="20"/>
                <w:szCs w:val="20"/>
              </w:rPr>
              <w:t xml:space="preserve">Diaria</w:t>
            </w:r>
          </w:p>
        </w:tc>
      </w:tr>
      <w:tr>
        <w:tc>
          <w:tcPr>
            <w:shd w:fill="FFFFFF" w:val="clear"/>
          </w:tcPr>
          <w:p>
            <w:pPr>
              <w:spacing w:after="50" w:before="50"/>
              <w:jc w:val="left"/>
            </w:pPr>
            <w:r>
              <w:rPr>
                <w:sz w:val="20"/>
                <w:szCs w:val="20"/>
              </w:rPr>
              <w:t xml:space="preserve">Gestión de registros</w:t>
            </w:r>
          </w:p>
        </w:tc>
        <w:tc>
          <w:tcPr>
            <w:shd w:fill="FFFFFF" w:val="clear"/>
          </w:tcPr>
          <w:p>
            <w:pPr>
              <w:spacing w:after="50" w:before="50"/>
              <w:jc w:val="left"/>
            </w:pPr>
            <w:r>
              <w:rPr>
                <w:sz w:val="20"/>
                <w:szCs w:val="20"/>
              </w:rPr>
              <w:t xml:space="preserve">Consolidación de los registros diarios de consumo en formatos físicos y/o digitales, organizados por mes y año calendario.</w:t>
            </w:r>
          </w:p>
        </w:tc>
        <w:tc>
          <w:tcPr>
            <w:shd w:fill="FFFFFF" w:val="clear"/>
          </w:tcPr>
          <w:p>
            <w:pPr>
              <w:spacing w:after="50" w:before="50"/>
              <w:jc w:val="left"/>
            </w:pPr>
            <w:r>
              <w:rPr>
                <w:sz w:val="20"/>
                <w:szCs w:val="20"/>
              </w:rPr>
              <w:t xml:space="preserve">Mensual</w:t>
            </w:r>
          </w:p>
        </w:tc>
      </w:tr>
      <w:tr>
        <w:tc>
          <w:tcPr>
            <w:shd w:fill="F1F8F6" w:val="clear"/>
          </w:tcPr>
          <w:p>
            <w:pPr>
              <w:spacing w:after="50" w:before="50"/>
              <w:jc w:val="left"/>
            </w:pPr>
            <w:r>
              <w:rPr>
                <w:sz w:val="20"/>
                <w:szCs w:val="20"/>
              </w:rPr>
              <w:t xml:space="preserve">Supervisión de acciones PUEAA</w:t>
            </w:r>
          </w:p>
        </w:tc>
        <w:tc>
          <w:tcPr>
            <w:shd w:fill="F1F8F6" w:val="clear"/>
          </w:tcPr>
          <w:p>
            <w:pPr>
              <w:spacing w:after="50" w:before="50"/>
              <w:jc w:val="left"/>
            </w:pPr>
            <w:r>
              <w:rPr>
                <w:sz w:val="20"/>
                <w:szCs w:val="20"/>
              </w:rPr>
              <w:t xml:space="preserve">Verificación del cumplimiento de las metas de ahorro, eficiencia y mantenimiento establecidas en el programa.</w:t>
            </w:r>
          </w:p>
        </w:tc>
        <w:tc>
          <w:tcPr>
            <w:shd w:fill="F1F8F6" w:val="clear"/>
          </w:tcPr>
          <w:p>
            <w:pPr>
              <w:spacing w:after="50" w:before="50"/>
              <w:jc w:val="left"/>
            </w:pPr>
            <w:r>
              <w:rPr>
                <w:sz w:val="20"/>
                <w:szCs w:val="20"/>
              </w:rPr>
              <w:t xml:space="preserve">Mensual</w:t>
            </w:r>
          </w:p>
        </w:tc>
      </w:tr>
      <w:tr>
        <w:tc>
          <w:tcPr>
            <w:shd w:fill="FFFFFF" w:val="clear"/>
          </w:tcPr>
          <w:p>
            <w:pPr>
              <w:spacing w:after="50" w:before="50"/>
              <w:jc w:val="left"/>
            </w:pPr>
            <w:r>
              <w:rPr>
                <w:sz w:val="20"/>
                <w:szCs w:val="20"/>
              </w:rPr>
              <w:t xml:space="preserve">Elaboración de informes internos</w:t>
            </w:r>
          </w:p>
        </w:tc>
        <w:tc>
          <w:tcPr>
            <w:shd w:fill="FFFFFF" w:val="clear"/>
          </w:tcPr>
          <w:p>
            <w:pPr>
              <w:spacing w:after="50" w:before="50"/>
              <w:jc w:val="left"/>
            </w:pPr>
            <w:r>
              <w:rPr>
                <w:sz w:val="20"/>
                <w:szCs w:val="20"/>
              </w:rPr>
              <w:t xml:space="preserve">Preparación del informe de seguimiento interno con análisis de desviaciones respecto a las metas y propuesta de medidas correctivas.</w:t>
            </w:r>
          </w:p>
        </w:tc>
        <w:tc>
          <w:tcPr>
            <w:shd w:fill="FFFFFF" w:val="clear"/>
          </w:tcPr>
          <w:p>
            <w:pPr>
              <w:spacing w:after="50" w:before="50"/>
              <w:jc w:val="left"/>
            </w:pPr>
            <w:r>
              <w:rPr>
                <w:sz w:val="20"/>
                <w:szCs w:val="20"/>
              </w:rPr>
              <w:t xml:space="preserve">Trimestral</w:t>
            </w:r>
          </w:p>
        </w:tc>
      </w:tr>
      <w:tr>
        <w:tc>
          <w:tcPr>
            <w:shd w:fill="F1F8F6" w:val="clear"/>
          </w:tcPr>
          <w:p>
            <w:pPr>
              <w:spacing w:after="50" w:before="50"/>
              <w:jc w:val="left"/>
            </w:pPr>
            <w:r>
              <w:rPr>
                <w:sz w:val="20"/>
                <w:szCs w:val="20"/>
              </w:rPr>
              <w:t xml:space="preserve">Reporte a la CAS</w:t>
            </w:r>
          </w:p>
        </w:tc>
        <w:tc>
          <w:tcPr>
            <w:shd w:fill="F1F8F6" w:val="clear"/>
          </w:tcPr>
          <w:p>
            <w:pPr>
              <w:spacing w:after="50" w:before="50"/>
              <w:jc w:val="left"/>
            </w:pPr>
            <w:r>
              <w:rPr>
                <w:sz w:val="20"/>
                <w:szCs w:val="20"/>
              </w:rPr>
              <w:t xml:space="preserve">Elaboración y radicación ante la CAS del informe de implementación del PUEAA, acompañado de los registros de consumo y evidencias de las acciones ejecutadas.</w:t>
            </w:r>
          </w:p>
        </w:tc>
        <w:tc>
          <w:tcPr>
            <w:shd w:fill="F1F8F6" w:val="clear"/>
          </w:tcPr>
          <w:p>
            <w:pPr>
              <w:spacing w:after="50" w:before="50"/>
              <w:jc w:val="left"/>
            </w:pPr>
            <w:r>
              <w:rPr>
                <w:sz w:val="20"/>
                <w:szCs w:val="20"/>
              </w:rPr>
              <w:t xml:space="preserve">Anual</w:t>
            </w:r>
          </w:p>
        </w:tc>
      </w:tr>
      <w:tr>
        <w:tc>
          <w:tcPr>
            <w:shd w:fill="FFFFFF" w:val="clear"/>
          </w:tcPr>
          <w:p>
            <w:pPr>
              <w:spacing w:after="50" w:before="50"/>
              <w:jc w:val="left"/>
            </w:pPr>
            <w:r>
              <w:rPr>
                <w:sz w:val="20"/>
                <w:szCs w:val="20"/>
              </w:rPr>
              <w:t xml:space="preserve">Actualización del programa</w:t>
            </w:r>
          </w:p>
        </w:tc>
        <w:tc>
          <w:tcPr>
            <w:shd w:fill="FFFFFF" w:val="clear"/>
          </w:tcPr>
          <w:p>
            <w:pPr>
              <w:spacing w:after="50" w:before="50"/>
              <w:jc w:val="left"/>
            </w:pPr>
            <w:r>
              <w:rPr>
                <w:sz w:val="20"/>
                <w:szCs w:val="20"/>
              </w:rPr>
              <w:t xml:space="preserve">Revisión y ajuste del documento PUEAA cuando se modifiquen las condiciones del proyecto, los consumos reales o los requerimientos de la autoridad ambiental.</w:t>
            </w:r>
          </w:p>
        </w:tc>
        <w:tc>
          <w:tcPr>
            <w:shd w:fill="FFFFFF" w:val="clear"/>
          </w:tcPr>
          <w:p>
            <w:pPr>
              <w:spacing w:after="50" w:before="50"/>
              <w:jc w:val="left"/>
            </w:pPr>
            <w:r>
              <w:rPr>
                <w:sz w:val="20"/>
                <w:szCs w:val="20"/>
              </w:rPr>
              <w:t xml:space="preserve">Cada 5 años o cuando haya cambio sustancial</w:t>
            </w:r>
          </w:p>
        </w:tc>
      </w:tr>
    </w:tbl>
    <w:p>
      <w:pPr>
        <w:spacing w:after="180" w:before="60"/>
        <w:jc w:val="left"/>
      </w:pPr>
      <w:r>
        <w:rPr>
          <w:i/>
          <w:iCs/>
          <w:color w:val="777777"/>
          <w:sz w:val="16"/>
          <w:szCs w:val="16"/>
        </w:rPr>
        <w:t xml:space="preserve">Fuente. Elaboración propia con base en la Ley 373 de 1997 y el Decreto 1090 de 2018.</w:t>
      </w:r>
    </w:p>
    <w:p>
      <w:pPr>
        <w:pStyle w:val="Heading2"/>
        <w:spacing w:after="140" w:before="240"/>
      </w:pPr>
      <w:r>
        <w:rPr>
          <w:b/>
          <w:bCs/>
          <w:color w:val="4A9D8E"/>
          <w:sz w:val="24"/>
          <w:szCs w:val="24"/>
        </w:rPr>
        <w:t xml:space="preserve">15.2. Esquema de seguimiento interno</w:t>
      </w:r>
    </w:p>
    <w:p>
      <w:pPr>
        <w:spacing w:after="160" w:line="320"/>
        <w:jc w:val="both"/>
      </w:pPr>
      <w:r>
        <w:rPr>
          <w:sz w:val="22"/>
          <w:szCs w:val="22"/>
        </w:rPr>
        <w:t xml:space="preserve">El seguimiento interno se estructura sobre la medición continua del caudal extraído del pozo profundo, para lo cual la granja cuenta con un medidor de caudal instalado en el punto de captación, así como un medidor en el reservorio de aguas lluvias. El responsable ambiental registra diariamente los valores de consumo y los contrasta con los caudales concesionados por uso (4,064 L/s para el componente avícola, 0,068 L/s para consumo humano y 0,087 L/s para los sistemas de desinfección), verificando que el consumo total no supere el caudal total concesionado de 4,219 L/s. Trimestralmente se elabora un balance de consumos reales versus estimados, identificando desviaciones superiores al diez por ciento (10%) como umbral de alerta que activa la revisión de las medidas de eficiencia en curso.</w:t>
      </w:r>
    </w:p>
    <w:p>
      <w:pPr>
        <w:spacing w:after="160" w:line="320"/>
        <w:jc w:val="both"/>
      </w:pPr>
      <w:r>
        <w:rPr>
          <w:sz w:val="22"/>
          <w:szCs w:val="22"/>
        </w:rPr>
        <w:t xml:space="preserve">Los registros de medición se organizan en un formato tabular que incluye, como mínimo: fecha de lectura, caudal instantáneo registrado (L/s), volumen acumulado en el período (m³), fuente de captación utilizada (pozo profundo o reservorio), y observaciones sobre eventos que hayan afectado el consumo. Este registro constituye el soporte documental primario que respalda los informes de cumplimiento radicados ante la CAS y debe conservarse por un período mínimo de diez (10) años, disponible para inspección en cualquier momento por parte de la autoridad ambiental.</w:t>
      </w:r>
    </w:p>
    <w:p>
      <w:pPr>
        <w:pStyle w:val="Heading2"/>
        <w:spacing w:after="140" w:before="240"/>
      </w:pPr>
      <w:r>
        <w:rPr>
          <w:b/>
          <w:bCs/>
          <w:color w:val="4A9D8E"/>
          <w:sz w:val="24"/>
          <w:szCs w:val="24"/>
        </w:rPr>
        <w:t xml:space="preserve">15.3. Frecuencia de reporte a la CAS</w:t>
      </w:r>
    </w:p>
    <w:p>
      <w:pPr>
        <w:spacing w:after="160" w:line="320"/>
        <w:jc w:val="both"/>
      </w:pPr>
      <w:r>
        <w:rPr>
          <w:sz w:val="22"/>
          <w:szCs w:val="22"/>
        </w:rPr>
        <w:t xml:space="preserve">El titular presentará ante la CAS un informe anual de implementación del PUEAA dentro de los treinta (30) días calendario siguientes al cierre de cada año de vigencia de la concesión. Dicho informe debe contener: (i) los registros de consumo mensual consolidados para el período, desagregados por categoría de uso; (ii) el estado de avance de cada programa y medida de ahorro comprometida; (iii) el análisis comparativo entre el consumo real y el caudal concesionado, con cálculo del porcentaje de uso efectivo; (iv) las acciones correctivas adoptadas ante desviaciones identificadas; y (v) la programación de acciones para el siguiente período anual. La radicación se efectuará a través de los canales oficiales habilitados por la CAS, con número de expediente de la concesión como referencia obligatoria.</w:t>
      </w:r>
    </w:p>
    <w:p>
      <w:pPr>
        <w:pStyle w:val="Heading2"/>
        <w:spacing w:after="140" w:before="240"/>
      </w:pPr>
      <w:r>
        <w:rPr>
          <w:b/>
          <w:bCs/>
          <w:color w:val="4A9D8E"/>
          <w:sz w:val="24"/>
          <w:szCs w:val="24"/>
        </w:rPr>
        <w:t xml:space="preserve">15.4. Mecanismos de evaluación y mejora continua</w:t>
      </w:r>
    </w:p>
    <w:p>
      <w:pPr>
        <w:spacing w:after="160" w:line="320"/>
        <w:jc w:val="both"/>
      </w:pPr>
      <w:r>
        <w:rPr>
          <w:sz w:val="22"/>
          <w:szCs w:val="22"/>
        </w:rPr>
        <w:t xml:space="preserve">La evaluación del desempeño del programa se realiza mediante el seguimiento de los indicadores de eficiencia hídrica definidos para cada programa de acción, con revisión formal de resultados al cierre de cada trimestre. Cuando el análisis trimestral evidencie que el consumo real supera en más del diez por ciento (10%) la estimación del PUEAA, o que una medida de ahorro no alcanzó la meta prevista, el responsable ambiental formula un plan de acción correctiva documentado, con responsables y plazos definidos. Dicho plan se incorpora al informe anual de la CAS como anexo. Este ciclo de evaluación y ajuste garantiza la mejora continua del programa en coherencia con el ciclo PHVA (Planear–Hacer–Verificar–Actuar), aplicado a la gestión del recurso hídrico subterráneo.</w:t>
      </w:r>
    </w:p>
    <w:p>
      <w:pPr>
        <w:spacing w:after="90" w:before="220"/>
        <w:jc w:val="center"/>
      </w:pPr>
      <w:r>
        <w:rPr>
          <w:b/>
          <w:bCs/>
          <w:sz w:val="20"/>
          <w:szCs w:val="20"/>
        </w:rPr>
        <w:t xml:space="preserve">Tabla 31. Indicadores de seguimiento del PUEAA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shd w:fill="4A9D8E" w:val="clear"/>
          </w:tcPr>
          <w:p>
            <w:pPr>
              <w:spacing w:after="50" w:before="50"/>
              <w:jc w:val="center"/>
            </w:pPr>
            <w:r>
              <w:rPr>
                <w:b/>
                <w:bCs/>
                <w:color w:val="FFFFFF"/>
                <w:sz w:val="20"/>
                <w:szCs w:val="20"/>
              </w:rPr>
              <w:t xml:space="preserve">Indicador</w:t>
            </w:r>
          </w:p>
        </w:tc>
        <w:tc>
          <w:tcPr>
            <w:shd w:fill="4A9D8E" w:val="clear"/>
          </w:tcPr>
          <w:p>
            <w:pPr>
              <w:spacing w:after="50" w:before="50"/>
              <w:jc w:val="center"/>
            </w:pPr>
            <w:r>
              <w:rPr>
                <w:b/>
                <w:bCs/>
                <w:color w:val="FFFFFF"/>
                <w:sz w:val="20"/>
                <w:szCs w:val="20"/>
              </w:rPr>
              <w:t xml:space="preserve">Fórmula / Método de cálculo</w:t>
            </w:r>
          </w:p>
        </w:tc>
        <w:tc>
          <w:tcPr>
            <w:shd w:fill="4A9D8E" w:val="clear"/>
          </w:tcPr>
          <w:p>
            <w:pPr>
              <w:spacing w:after="50" w:before="50"/>
              <w:jc w:val="center"/>
            </w:pPr>
            <w:r>
              <w:rPr>
                <w:b/>
                <w:bCs/>
                <w:color w:val="FFFFFF"/>
                <w:sz w:val="20"/>
                <w:szCs w:val="20"/>
              </w:rPr>
              <w:t xml:space="preserve">Meta</w:t>
            </w:r>
          </w:p>
        </w:tc>
        <w:tc>
          <w:tcPr>
            <w:shd w:fill="4A9D8E" w:val="clear"/>
          </w:tcPr>
          <w:p>
            <w:pPr>
              <w:spacing w:after="50" w:before="50"/>
              <w:jc w:val="center"/>
            </w:pPr>
            <w:r>
              <w:rPr>
                <w:b/>
                <w:bCs/>
                <w:color w:val="FFFFFF"/>
                <w:sz w:val="20"/>
                <w:szCs w:val="20"/>
              </w:rPr>
              <w:t xml:space="preserve">Frecuencia de medición</w:t>
            </w:r>
          </w:p>
        </w:tc>
      </w:tr>
      <w:tr>
        <w:tc>
          <w:tcPr>
            <w:shd w:fill="F1F8F6" w:val="clear"/>
          </w:tcPr>
          <w:p>
            <w:pPr>
              <w:spacing w:after="50" w:before="50"/>
              <w:jc w:val="left"/>
            </w:pPr>
            <w:r>
              <w:rPr>
                <w:sz w:val="20"/>
                <w:szCs w:val="20"/>
              </w:rPr>
              <w:t xml:space="preserve">Porcentaje de uso del caudal concesionado</w:t>
            </w:r>
          </w:p>
        </w:tc>
        <w:tc>
          <w:tcPr>
            <w:shd w:fill="F1F8F6" w:val="clear"/>
          </w:tcPr>
          <w:p>
            <w:pPr>
              <w:spacing w:after="50" w:before="50"/>
              <w:jc w:val="left"/>
            </w:pPr>
            <w:r>
              <w:rPr>
                <w:sz w:val="20"/>
                <w:szCs w:val="20"/>
              </w:rPr>
              <w:t xml:space="preserve">(Caudal real promedio / Caudal concesionado) × 100</w:t>
            </w:r>
          </w:p>
        </w:tc>
        <w:tc>
          <w:tcPr>
            <w:shd w:fill="F1F8F6" w:val="clear"/>
          </w:tcPr>
          <w:p>
            <w:pPr>
              <w:spacing w:after="50" w:before="50"/>
              <w:jc w:val="left"/>
            </w:pPr>
            <w:r>
              <w:rPr>
                <w:sz w:val="20"/>
                <w:szCs w:val="20"/>
              </w:rPr>
              <w:t xml:space="preserve">≤ 100%</w:t>
            </w:r>
          </w:p>
        </w:tc>
        <w:tc>
          <w:tcPr>
            <w:shd w:fill="F1F8F6" w:val="clear"/>
          </w:tcPr>
          <w:p>
            <w:pPr>
              <w:spacing w:after="50" w:before="50"/>
              <w:jc w:val="left"/>
            </w:pPr>
            <w:r>
              <w:rPr>
                <w:sz w:val="20"/>
                <w:szCs w:val="20"/>
              </w:rPr>
              <w:t xml:space="preserve">Mensual</w:t>
            </w:r>
          </w:p>
        </w:tc>
      </w:tr>
      <w:tr>
        <w:tc>
          <w:tcPr>
            <w:shd w:fill="FFFFFF" w:val="clear"/>
          </w:tcPr>
          <w:p>
            <w:pPr>
              <w:spacing w:after="50" w:before="50"/>
              <w:jc w:val="left"/>
            </w:pPr>
            <w:r>
              <w:rPr>
                <w:sz w:val="20"/>
                <w:szCs w:val="20"/>
              </w:rPr>
              <w:t xml:space="preserve">Volumen total extraído del pozo (m³/mes)</w:t>
            </w:r>
          </w:p>
        </w:tc>
        <w:tc>
          <w:tcPr>
            <w:shd w:fill="FFFFFF" w:val="clear"/>
          </w:tcPr>
          <w:p>
            <w:pPr>
              <w:spacing w:after="50" w:before="50"/>
              <w:jc w:val="left"/>
            </w:pPr>
            <w:r>
              <w:rPr>
                <w:sz w:val="20"/>
                <w:szCs w:val="20"/>
              </w:rPr>
              <w:t xml:space="preserve">Lectura del medidor al cierre de cada mes</w:t>
            </w:r>
          </w:p>
        </w:tc>
        <w:tc>
          <w:tcPr>
            <w:shd w:fill="FFFFFF" w:val="clear"/>
          </w:tcPr>
          <w:p>
            <w:pPr>
              <w:spacing w:after="50" w:before="50"/>
              <w:jc w:val="left"/>
            </w:pPr>
            <w:r>
              <w:rPr>
                <w:sz w:val="20"/>
                <w:szCs w:val="20"/>
              </w:rPr>
              <w:t xml:space="preserve">Acorde al balance de demanda del PUEAA</w:t>
            </w:r>
          </w:p>
        </w:tc>
        <w:tc>
          <w:tcPr>
            <w:shd w:fill="FFFFFF" w:val="clear"/>
          </w:tcPr>
          <w:p>
            <w:pPr>
              <w:spacing w:after="50" w:before="50"/>
              <w:jc w:val="left"/>
            </w:pPr>
            <w:r>
              <w:rPr>
                <w:sz w:val="20"/>
                <w:szCs w:val="20"/>
              </w:rPr>
              <w:t xml:space="preserve">Mensual</w:t>
            </w:r>
          </w:p>
        </w:tc>
      </w:tr>
      <w:tr>
        <w:tc>
          <w:tcPr>
            <w:shd w:fill="F1F8F6" w:val="clear"/>
          </w:tcPr>
          <w:p>
            <w:pPr>
              <w:spacing w:after="50" w:before="50"/>
              <w:jc w:val="left"/>
            </w:pPr>
            <w:r>
              <w:rPr>
                <w:sz w:val="20"/>
                <w:szCs w:val="20"/>
              </w:rPr>
              <w:t xml:space="preserve">Proporción de agua proveniente del reservorio</w:t>
            </w:r>
          </w:p>
        </w:tc>
        <w:tc>
          <w:tcPr>
            <w:shd w:fill="F1F8F6" w:val="clear"/>
          </w:tcPr>
          <w:p>
            <w:pPr>
              <w:spacing w:after="50" w:before="50"/>
              <w:jc w:val="left"/>
            </w:pPr>
            <w:r>
              <w:rPr>
                <w:sz w:val="20"/>
                <w:szCs w:val="20"/>
              </w:rPr>
              <w:t xml:space="preserve">(Volumen reservorio / Volumen total) × 100</w:t>
            </w:r>
          </w:p>
        </w:tc>
        <w:tc>
          <w:tcPr>
            <w:shd w:fill="F1F8F6" w:val="clear"/>
          </w:tcPr>
          <w:p>
            <w:pPr>
              <w:spacing w:after="50" w:before="50"/>
              <w:jc w:val="left"/>
            </w:pPr>
            <w:r>
              <w:rPr>
                <w:sz w:val="20"/>
                <w:szCs w:val="20"/>
              </w:rPr>
              <w:t xml:space="preserve">Maximizar en períodos lluviosos</w:t>
            </w:r>
          </w:p>
        </w:tc>
        <w:tc>
          <w:tcPr>
            <w:shd w:fill="F1F8F6" w:val="clear"/>
          </w:tcPr>
          <w:p>
            <w:pPr>
              <w:spacing w:after="50" w:before="50"/>
              <w:jc w:val="left"/>
            </w:pPr>
            <w:r>
              <w:rPr>
                <w:sz w:val="20"/>
                <w:szCs w:val="20"/>
              </w:rPr>
              <w:t xml:space="preserve">Trimestral</w:t>
            </w:r>
          </w:p>
        </w:tc>
      </w:tr>
      <w:tr>
        <w:tc>
          <w:tcPr>
            <w:shd w:fill="FFFFFF" w:val="clear"/>
          </w:tcPr>
          <w:p>
            <w:pPr>
              <w:spacing w:after="50" w:before="50"/>
              <w:jc w:val="left"/>
            </w:pPr>
            <w:r>
              <w:rPr>
                <w:sz w:val="20"/>
                <w:szCs w:val="20"/>
              </w:rPr>
              <w:t xml:space="preserve">Cumplimiento de acciones del programa</w:t>
            </w:r>
          </w:p>
        </w:tc>
        <w:tc>
          <w:tcPr>
            <w:shd w:fill="FFFFFF" w:val="clear"/>
          </w:tcPr>
          <w:p>
            <w:pPr>
              <w:spacing w:after="50" w:before="50"/>
              <w:jc w:val="left"/>
            </w:pPr>
            <w:r>
              <w:rPr>
                <w:sz w:val="20"/>
                <w:szCs w:val="20"/>
              </w:rPr>
              <w:t xml:space="preserve">(Acciones ejecutadas / Acciones programadas) × 100</w:t>
            </w:r>
          </w:p>
        </w:tc>
        <w:tc>
          <w:tcPr>
            <w:shd w:fill="FFFFFF" w:val="clear"/>
          </w:tcPr>
          <w:p>
            <w:pPr>
              <w:spacing w:after="50" w:before="50"/>
              <w:jc w:val="left"/>
            </w:pPr>
            <w:r>
              <w:rPr>
                <w:sz w:val="20"/>
                <w:szCs w:val="20"/>
              </w:rPr>
              <w:t xml:space="preserve">≥ 80% por período anual</w:t>
            </w:r>
          </w:p>
        </w:tc>
        <w:tc>
          <w:tcPr>
            <w:shd w:fill="FFFFFF" w:val="clear"/>
          </w:tcPr>
          <w:p>
            <w:pPr>
              <w:spacing w:after="50" w:before="50"/>
              <w:jc w:val="left"/>
            </w:pPr>
            <w:r>
              <w:rPr>
                <w:sz w:val="20"/>
                <w:szCs w:val="20"/>
              </w:rPr>
              <w:t xml:space="preserve">Anual</w:t>
            </w:r>
          </w:p>
        </w:tc>
      </w:tr>
      <w:tr>
        <w:tc>
          <w:tcPr>
            <w:shd w:fill="F1F8F6" w:val="clear"/>
          </w:tcPr>
          <w:p>
            <w:pPr>
              <w:spacing w:after="50" w:before="50"/>
              <w:jc w:val="left"/>
            </w:pPr>
            <w:r>
              <w:rPr>
                <w:sz w:val="20"/>
                <w:szCs w:val="20"/>
              </w:rPr>
              <w:t xml:space="preserve">Desviación respecto a la meta de ahorro</w:t>
            </w:r>
          </w:p>
        </w:tc>
        <w:tc>
          <w:tcPr>
            <w:shd w:fill="F1F8F6" w:val="clear"/>
          </w:tcPr>
          <w:p>
            <w:pPr>
              <w:spacing w:after="50" w:before="50"/>
              <w:jc w:val="left"/>
            </w:pPr>
            <w:r>
              <w:rPr>
                <w:sz w:val="20"/>
                <w:szCs w:val="20"/>
              </w:rPr>
              <w:t xml:space="preserve">((Consumo real − Consumo proyectado) / Consumo proyectado) × 100</w:t>
            </w:r>
          </w:p>
        </w:tc>
        <w:tc>
          <w:tcPr>
            <w:shd w:fill="F1F8F6" w:val="clear"/>
          </w:tcPr>
          <w:p>
            <w:pPr>
              <w:spacing w:after="50" w:before="50"/>
              <w:jc w:val="left"/>
            </w:pPr>
            <w:r>
              <w:rPr>
                <w:sz w:val="20"/>
                <w:szCs w:val="20"/>
              </w:rPr>
              <w:t xml:space="preserve">≤ 10%</w:t>
            </w:r>
          </w:p>
        </w:tc>
        <w:tc>
          <w:tcPr>
            <w:shd w:fill="F1F8F6" w:val="clear"/>
          </w:tcPr>
          <w:p>
            <w:pPr>
              <w:spacing w:after="50" w:before="50"/>
              <w:jc w:val="left"/>
            </w:pPr>
            <w:r>
              <w:rPr>
                <w:sz w:val="20"/>
                <w:szCs w:val="20"/>
              </w:rPr>
              <w:t xml:space="preserve">Trimestral</w:t>
            </w:r>
          </w:p>
        </w:tc>
      </w:tr>
    </w:tbl>
    <w:p>
      <w:pPr>
        <w:spacing w:after="180" w:before="60"/>
        <w:jc w:val="left"/>
      </w:pPr>
      <w:r>
        <w:rPr>
          <w:i/>
          <w:iCs/>
          <w:color w:val="777777"/>
          <w:sz w:val="16"/>
          <w:szCs w:val="16"/>
        </w:rPr>
        <w:t xml:space="preserve">Fuente. Elaboración propia.</w:t>
      </w:r>
    </w:p>
    <w:p>
      <w:pPr>
        <w:pStyle w:val="Heading2"/>
        <w:spacing w:after="140" w:before="240"/>
      </w:pPr>
      <w:r>
        <w:rPr>
          <w:b/>
          <w:bCs/>
          <w:color w:val="4A9D8E"/>
          <w:sz w:val="24"/>
          <w:szCs w:val="24"/>
        </w:rPr>
        <w:t xml:space="preserve">15.5. Procedimiento de actualización del programa</w:t>
      </w:r>
    </w:p>
    <w:p>
      <w:pPr>
        <w:spacing w:after="160" w:line="320"/>
        <w:jc w:val="both"/>
      </w:pPr>
      <w:r>
        <w:rPr>
          <w:sz w:val="22"/>
          <w:szCs w:val="22"/>
        </w:rPr>
        <w:t xml:space="preserve">El presente PUEAA tiene una vigencia de cinco (5) años contados a partir de la fecha de ejecutoria de la resolución de concesión, plazo al cabo del cual el titular debe presentar ante la CAS una versión actualizada del documento. Sin perjuicio de lo anterior, el programa debe ser revisado y ajustado de manera anticipada en los siguientes casos: (i) cuando se amplíe la capacidad instalada de la granja, ya sea por la entrada en operación de los cinco galpones actualmente en etapa constructiva del Núcleo 2 u otras obras futuras; (ii) cuando la autoridad ambiental expida nuevos lineamientos o modifique los módulos de consumo de referencia; (iii) cuando el monitoreo interno evidencie desviaciones sistemáticas superiores al veinte por ciento (20%) respecto a los consumos estimados; o (iv) cuando la CAS lo requiera mediante comunicación oficial. La versión actualizada del PUEAA debe radicarse junto con los soportes de campo y de medición que la sustenten, y queda sujeta al mismo proceso de evaluación de la autoridad ambiental que el documento original.</w:t>
      </w:r>
    </w:p>
    <w:p>
      <w:r>
        <w:br w:type="page"/>
      </w:r>
    </w:p>
    <w:p>
      <w:pPr>
        <w:pStyle w:val="Heading1"/>
        <w:spacing w:after="200" w:before="360"/>
      </w:pPr>
      <w:r>
        <w:rPr>
          <w:b/>
          <w:bCs/>
          <w:color w:val="1F2937"/>
          <w:sz w:val="28"/>
          <w:szCs w:val="28"/>
        </w:rPr>
        <w:t xml:space="preserve">16. CONCLUSIONES Y RECOMENDACIONES</w:t>
      </w:r>
    </w:p>
    <w:p>
      <w:pPr>
        <w:spacing w:after="160" w:line="320"/>
        <w:jc w:val="both"/>
      </w:pPr>
      <w:r>
        <w:rPr>
          <w:sz w:val="22"/>
          <w:szCs w:val="22"/>
        </w:rPr>
        <w:t xml:space="preserve">La evaluación integral de la Granja Avícola Jamaica, operada por AVSA SA, permite establecer que el proyecto presenta condiciones técnicas, operativas y ambientales compatibles con el otorgamiento de una concesión de aguas subterráneas ante la Corporación Autónoma Regional de Santander (CAS). El caudal solicitado de 4,219 L/s corresponde a la demanda real y verificada de los cuatro usos identificados —avicultura, consumo humano, túnel de desinfección y arco de desinfección—, calculados con los módulos oficiales de la CAS y con los volúmenes unitarios declarados por el titular, sin incluir reservas artificiales ni sobreestimaciones.</w:t>
      </w:r>
    </w:p>
    <w:p>
      <w:pPr>
        <w:spacing w:after="160" w:line="320"/>
        <w:jc w:val="both"/>
      </w:pPr>
      <w:r>
        <w:rPr>
          <w:sz w:val="22"/>
          <w:szCs w:val="22"/>
        </w:rPr>
        <w:t xml:space="preserve">La estructura productiva del proyecto, conformada por dos núcleos con un total de ocho galpones operativos y cinco en construcción, sustenta la magnitud de la demanda hídrica pecuaria. El núcleo 1 opera seis galpones con capacidad de 62.000 aves cada uno; el núcleo 2 dispone de dos galpones con capacidad de 92.000 aves cada uno. La diferencia entre las capacidades unitarias de los galpones de cada núcleo refleja distintas generaciones constructivas, lo cual es coherente con la expansión progresiva que caracteriza el sector en el municipio de Sabana de Torres, actividad reconocida como relevante en la ficha de caracterización del DNP para dicho municipio.</w:t>
      </w:r>
    </w:p>
    <w:p>
      <w:pPr>
        <w:spacing w:after="160" w:line="320"/>
        <w:jc w:val="both"/>
      </w:pPr>
      <w:r>
        <w:rPr>
          <w:sz w:val="22"/>
          <w:szCs w:val="22"/>
        </w:rPr>
        <w:t xml:space="preserve">Desde el punto de vista de la infraestructura hídrica, el proyecto cuenta con elementos técnicos que respaldan la continuidad, la medición y el control del recurso: conducción en tubería PVC de cuatro pulgadas desde el pozo profundo, tres tanques de almacenamiento de agua tratada con capacidad de 100 m³ cada uno, una planta de tratamiento de agua potable (PTAP) registrada en el levantamiento de campo, y medidores de caudal instalados tanto en el punto de captación del pozo como en el reservorio de aguas lluvias. Este último constituye una fuente alterna que contribuye a reducir la presión sobre el acuífero en períodos de disponibilidad hídrica superficial, mejorando el perfil de sostenibilidad ambiental de la operación.</w:t>
      </w:r>
    </w:p>
    <w:p>
      <w:pPr>
        <w:spacing w:after="160" w:line="320"/>
        <w:jc w:val="both"/>
      </w:pPr>
      <w:r>
        <w:rPr>
          <w:sz w:val="22"/>
          <w:szCs w:val="22"/>
        </w:rPr>
        <w:t xml:space="preserve">El presente Programa para el Uso Eficiente y Ahorro del Agua sintetiza las medidas técnicas y operativas que la empresa adoptará para garantizar el uso racional del recurso hídrico subterráneo, en coherencia con los principios de la Ley 373 de 1997 y los lineamientos del Decreto 1090 de 2018. El cumplimiento de los indicadores de seguimiento establecidos en el programa, la operación continua del sistema de medición y el reporte periódico de consumos a la CAS constituyen los pilares del compromiso ambiental del titular durante la vigencia de la concesión.</w:t>
      </w:r>
    </w:p>
    <w:p>
      <w:pPr>
        <w:pStyle w:val="Heading2"/>
        <w:spacing w:after="140" w:before="240"/>
      </w:pPr>
      <w:r>
        <w:rPr>
          <w:b/>
          <w:bCs/>
          <w:color w:val="4A9D8E"/>
          <w:sz w:val="24"/>
          <w:szCs w:val="24"/>
        </w:rPr>
        <w:t xml:space="preserve">16.1. Recomendaciones operativas</w:t>
      </w:r>
    </w:p>
    <w:p>
      <w:pPr>
        <w:pStyle w:val="ListParagraph"/>
        <w:numPr>
          <w:ilvl w:val="0"/>
          <w:numId w:val="8"/>
        </w:numPr>
        <w:spacing w:after="100" w:line="300"/>
        <w:jc w:val="both"/>
      </w:pPr>
      <w:r>
        <w:rPr>
          <w:sz w:val="22"/>
          <w:szCs w:val="22"/>
        </w:rPr>
        <w:t xml:space="preserve">Mantener en operación continua el medidor de caudal instalado en el punto de captación del pozo profundo, realizando lectura, registro y reporte de consumos con la periodicidad que establezca el acto administrativo de concesión. Cualquier anomalía en el instrumento de medición debe ser corregida en un plazo máximo de 72 horas para garantizar la trazabilidad del volumen extraído.</w:t>
      </w:r>
    </w:p>
    <w:p>
      <w:pPr>
        <w:pStyle w:val="ListParagraph"/>
        <w:numPr>
          <w:ilvl w:val="0"/>
          <w:numId w:val="8"/>
        </w:numPr>
        <w:spacing w:after="100" w:line="300"/>
        <w:jc w:val="both"/>
      </w:pPr>
      <w:r>
        <w:rPr>
          <w:sz w:val="22"/>
          <w:szCs w:val="22"/>
        </w:rPr>
        <w:t xml:space="preserve">Completar el análisis de restricciones ambientales del estudio de factibilidad hídrica para verificar la ausencia de áreas protegidas, rondas hídricas o zonas de recarga de acuífero en el área de influencia del pozo profundo, de conformidad con lo señalado en el punto de inspección de áreas de importancia ecológica del levantamiento de campo.</w:t>
      </w:r>
    </w:p>
    <w:p>
      <w:pPr>
        <w:pStyle w:val="ListParagraph"/>
        <w:numPr>
          <w:ilvl w:val="0"/>
          <w:numId w:val="8"/>
        </w:numPr>
        <w:spacing w:after="100" w:line="300"/>
        <w:jc w:val="both"/>
      </w:pPr>
      <w:r>
        <w:rPr>
          <w:sz w:val="22"/>
          <w:szCs w:val="22"/>
        </w:rPr>
        <w:t xml:space="preserve">Formalizar el aprovechamiento del reservorio de aguas lluvias como fuente alterna mediante el trámite ambiental correspondiente ante la CAS, con el fin de contar con el instrumento de manejo que habilite su uso en períodos de alta disponibilidad hídrica y reduzca la extracción del acuífero durante esas temporadas.</w:t>
      </w:r>
    </w:p>
    <w:p>
      <w:pPr>
        <w:pStyle w:val="ListParagraph"/>
        <w:numPr>
          <w:ilvl w:val="0"/>
          <w:numId w:val="8"/>
        </w:numPr>
        <w:spacing w:after="100" w:line="300"/>
        <w:jc w:val="both"/>
      </w:pPr>
      <w:r>
        <w:rPr>
          <w:sz w:val="22"/>
          <w:szCs w:val="22"/>
        </w:rPr>
        <w:t xml:space="preserve">Una vez concluida la etapa constructiva de los cinco galpones del núcleo 2, actualizar el balance hídrico del PUEAA y notificar a la CAS el incremento en la demanda pecuaria, gestionando oportunamente la modificación del caudal concesionado si los nuevos volúmenes requeridos superan el caudal autorizado de 4,219 L/s.</w:t>
      </w:r>
    </w:p>
    <w:p>
      <w:pPr>
        <w:pStyle w:val="ListParagraph"/>
        <w:numPr>
          <w:ilvl w:val="0"/>
          <w:numId w:val="8"/>
        </w:numPr>
        <w:spacing w:after="100" w:line="300"/>
        <w:jc w:val="both"/>
      </w:pPr>
      <w:r>
        <w:rPr>
          <w:sz w:val="22"/>
          <w:szCs w:val="22"/>
        </w:rPr>
        <w:t xml:space="preserve">Implementar un programa de mantenimiento preventivo semestral para la tubería PVC de conducción, los tanques de almacenamiento y los accesorios hidráulicos, con el propósito de detectar y corregir fugas antes de que representen pérdidas significativas del recurso concesionado.</w:t>
      </w:r>
    </w:p>
    <w:p>
      <w:pPr>
        <w:pStyle w:val="ListParagraph"/>
        <w:numPr>
          <w:ilvl w:val="0"/>
          <w:numId w:val="8"/>
        </w:numPr>
        <w:spacing w:after="100" w:line="300"/>
        <w:jc w:val="both"/>
      </w:pPr>
      <w:r>
        <w:rPr>
          <w:sz w:val="22"/>
          <w:szCs w:val="22"/>
        </w:rPr>
        <w:t xml:space="preserve">Garantizar el funcionamiento continuo de la PTAP y mantener registros de los parámetros de calidad del agua tratada destinada al consumo de las 34 personas vinculadas al proyecto, con periodicidad acorde con los requerimientos del Ministerio de Salud y Protección Social aplicables a sistemas de abastecimiento de uso no público.</w:t>
      </w:r>
    </w:p>
    <w:p>
      <w:pPr>
        <w:pStyle w:val="ListParagraph"/>
        <w:numPr>
          <w:ilvl w:val="0"/>
          <w:numId w:val="8"/>
        </w:numPr>
        <w:spacing w:after="100" w:line="300"/>
        <w:jc w:val="both"/>
      </w:pPr>
      <w:r>
        <w:rPr>
          <w:sz w:val="22"/>
          <w:szCs w:val="22"/>
        </w:rPr>
        <w:t xml:space="preserve">Conservar y actualizar anualmente la documentación soporte del PUEAA —incluyendo registros de consumo, informes de mantenimiento y reportes de calidad del agua— y ponerla a disposición de la CAS en cualquier visita de seguimiento o control que la autoridad ambiental programe durante la vigencia de la concesión.</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i/>
        <w:iCs/>
        <w:color w:val="888888"/>
        <w:sz w:val="15"/>
        <w:szCs w:val="15"/>
      </w:rPr>
      <w:t xml:space="preserve">Elaborado por Gespro · Consultoría Ambiental — Bucaramanga, Santander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40"/>
      <w:jc w:val="right"/>
    </w:pPr>
    <w:r>
      <w:rPr>
        <w:color w:val="777777"/>
        <w:sz w:val="16"/>
        <w:szCs w:val="16"/>
      </w:rPr>
      <w:t xml:space="preserve">Página </w:t>
    </w:r>
    <w:r>
      <w:rPr>
        <w:color w:val="777777"/>
        <w:sz w:val="16"/>
        <w:szCs w:val="16"/>
      </w:rPr>
      <w:fldChar w:fldCharType="begin"/>
      <w:instrText xml:space="preserve">PAGE</w:instrText>
      <w:fldChar w:fldCharType="separate"/>
      <w:fldChar w:fldCharType="end"/>
    </w:r>
    <w:r>
      <w:rPr>
        <w:color w:val="777777"/>
        <w:sz w:val="16"/>
        <w:szCs w:val="16"/>
      </w:rPr>
      <w:t xml:space="preserve"> de </w:t>
    </w:r>
    <w:r>
      <w:rPr>
        <w:color w:val="777777"/>
        <w:sz w:val="16"/>
        <w:szCs w:val="16"/>
      </w:rPr>
      <w:fldChar w:fldCharType="begin"/>
      <w:instrText xml:space="preserve">NUMPAGES</w:instrText>
      <w:fldChar w:fldCharType="separate"/>
      <w:fldChar w:fldCharType="end"/>
    </w:r>
  </w:p>
  <w:p>
    <w:pPr>
      <w:pBdr>
        <w:bottom w:val="single" w:color="4A9D8E" w:sz="12" w:space="4"/>
      </w:pBdr>
      <w:spacing w:after="80"/>
      <w:jc w:val="center"/>
    </w:pPr>
    <w:r>
      <w:rPr>
        <w:b/>
        <w:bCs/>
        <w:color w:val="4A9D8E"/>
        <w:sz w:val="16"/>
        <w:szCs w:val="16"/>
      </w:rPr>
      <w:t xml:space="preserve">PROGRAMA PARA EL USO EFICIENTE Y AHORRO DEL AGUA — PUEAA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480" w:hanging="280"/>
      </w:pPr>
    </w:lvl>
  </w:abstractNum>
  <w:num w:numId="1">
    <w:abstractNumId w:val="1"/>
    <w:lvlOverride w:ilvl="0">
      <w:startOverride w:val="1"/>
    </w:lvlOverride>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pPr>
        <w:spacing w:line="32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PARA EL USO EFICIENTE Y AHORRO DEL AGUA — PUEAA — AVSA SA</dc:title>
  <dc:creator>Gespro</dc:creator>
  <dc:description>PROGRAMA PARA EL USO EFICIENTE Y AHORRO DEL AGUA — PUEAA. Código CA-2026-486F4C1C.</dc:description>
  <cp:lastModifiedBy>Un-named</cp:lastModifiedBy>
  <cp:revision>1</cp:revision>
  <dcterms:created xsi:type="dcterms:W3CDTF">2026-07-17T14:10:37.517Z</dcterms:created>
  <dcterms:modified xsi:type="dcterms:W3CDTF">2026-07-17T14:10:37.517Z</dcterms:modified>
</cp:coreProperties>
</file>

<file path=docProps/custom.xml><?xml version="1.0" encoding="utf-8"?>
<Properties xmlns="http://schemas.openxmlformats.org/officeDocument/2006/custom-properties" xmlns:vt="http://schemas.openxmlformats.org/officeDocument/2006/docPropsVTypes"/>
</file>