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400" w:before="2400" w:lineRule="auto"/>
        <w:jc w:val="center"/>
        <w:rPr/>
      </w:pPr>
      <w:r w:rsidDel="00000000" w:rsidR="00000000" w:rsidRPr="00000000">
        <w:rPr>
          <w:rFonts w:ascii="Tahoma" w:cs="Tahoma" w:eastAsia="Tahoma" w:hAnsi="Tahoma"/>
          <w:b w:val="1"/>
          <w:bCs w:val="1"/>
          <w:color w:val="000000"/>
          <w:sz w:val="36"/>
          <w:szCs w:val="36"/>
          <w:rtl w:val="0"/>
        </w:rPr>
        <w:t xml:space="preserve">SOLICITUD CONCESIÓN DE AGUAS SUBTERRÁNEAS</w:t>
      </w:r>
      <w:r w:rsidDel="00000000" w:rsidR="00000000" w:rsidRPr="00000000">
        <w:rPr>
          <w:rtl w:val="0"/>
        </w:rPr>
      </w:r>
    </w:p>
    <w:p w:rsidR="00000000" w:rsidDel="00000000" w:rsidP="00000000" w:rsidRDefault="00000000" w:rsidRPr="00000000" w14:paraId="00000002">
      <w:pPr>
        <w:spacing w:after="200" w:lineRule="auto"/>
        <w:jc w:val="center"/>
        <w:rPr/>
      </w:pPr>
      <w:r w:rsidDel="00000000" w:rsidR="00000000" w:rsidRPr="00000000">
        <w:rPr>
          <w:rFonts w:ascii="Tahoma" w:cs="Tahoma" w:eastAsia="Tahoma" w:hAnsi="Tahoma"/>
          <w:b w:val="1"/>
          <w:bCs w:val="1"/>
          <w:color w:val="000000"/>
          <w:sz w:val="36"/>
          <w:szCs w:val="36"/>
          <w:rtl w:val="0"/>
        </w:rPr>
        <w:t xml:space="preserve">GENERALIDADES</w:t>
      </w:r>
      <w:r w:rsidDel="00000000" w:rsidR="00000000" w:rsidRPr="00000000">
        <w:rPr>
          <w:rtl w:val="0"/>
        </w:rPr>
      </w:r>
    </w:p>
    <w:p w:rsidR="00000000" w:rsidDel="00000000" w:rsidP="00000000" w:rsidRDefault="00000000" w:rsidRPr="00000000" w14:paraId="00000003">
      <w:pPr>
        <w:spacing w:after="200" w:before="1200" w:lineRule="auto"/>
        <w:jc w:val="center"/>
        <w:rPr/>
      </w:pPr>
      <w:r w:rsidDel="00000000" w:rsidR="00000000" w:rsidRPr="00000000">
        <w:rPr>
          <w:rFonts w:ascii="Tahoma" w:cs="Tahoma" w:eastAsia="Tahoma" w:hAnsi="Tahoma"/>
          <w:b w:val="1"/>
          <w:bCs w:val="1"/>
          <w:color w:val="000000"/>
          <w:sz w:val="32"/>
          <w:szCs w:val="32"/>
          <w:rtl w:val="0"/>
        </w:rPr>
        <w:t xml:space="preserve">Granja Avícola Jamaica</w:t>
      </w:r>
      <w:r w:rsidDel="00000000" w:rsidR="00000000" w:rsidRPr="00000000">
        <w:rPr>
          <w:rtl w:val="0"/>
        </w:rPr>
      </w:r>
    </w:p>
    <w:p w:rsidR="00000000" w:rsidDel="00000000" w:rsidP="00000000" w:rsidRDefault="00000000" w:rsidRPr="00000000" w14:paraId="00000004">
      <w:pPr>
        <w:spacing w:after="1200" w:lineRule="auto"/>
        <w:jc w:val="center"/>
        <w:rPr/>
      </w:pPr>
      <w:r w:rsidDel="00000000" w:rsidR="00000000" w:rsidRPr="00000000">
        <w:rPr>
          <w:rFonts w:ascii="Tahoma" w:cs="Tahoma" w:eastAsia="Tahoma" w:hAnsi="Tahoma"/>
          <w:b w:val="1"/>
          <w:bCs w:val="1"/>
          <w:color w:val="000000"/>
          <w:sz w:val="28"/>
          <w:szCs w:val="28"/>
          <w:rtl w:val="0"/>
        </w:rPr>
        <w:t xml:space="preserve">AVSA SA</w:t>
      </w:r>
      <w:r w:rsidDel="00000000" w:rsidR="00000000" w:rsidRPr="00000000">
        <w:rPr>
          <w:rtl w:val="0"/>
        </w:rPr>
      </w:r>
    </w:p>
    <w:p w:rsidR="00000000" w:rsidDel="00000000" w:rsidP="00000000" w:rsidRDefault="00000000" w:rsidRPr="00000000" w14:paraId="00000005">
      <w:pPr>
        <w:spacing w:after="100" w:lineRule="auto"/>
        <w:jc w:val="center"/>
        <w:rPr/>
      </w:pPr>
      <w:r w:rsidDel="00000000" w:rsidR="00000000" w:rsidRPr="00000000">
        <w:rPr>
          <w:rFonts w:ascii="Tahoma" w:cs="Tahoma" w:eastAsia="Tahoma" w:hAnsi="Tahoma"/>
          <w:b w:val="1"/>
          <w:bCs w:val="1"/>
          <w:color w:val="000000"/>
          <w:sz w:val="28"/>
          <w:szCs w:val="28"/>
          <w:rtl w:val="0"/>
        </w:rPr>
        <w:t xml:space="preserve">2026</w:t>
      </w: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spacing w:after="200" w:lineRule="auto"/>
        <w:jc w:val="left"/>
        <w:rPr/>
      </w:pPr>
      <w:r w:rsidDel="00000000" w:rsidR="00000000" w:rsidRPr="00000000">
        <w:rPr>
          <w:rFonts w:ascii="Tahoma" w:cs="Tahoma" w:eastAsia="Tahoma" w:hAnsi="Tahoma"/>
          <w:b w:val="1"/>
          <w:bCs w:val="1"/>
          <w:color w:val="000000"/>
          <w:sz w:val="28"/>
          <w:szCs w:val="28"/>
          <w:rtl w:val="0"/>
        </w:rPr>
        <w:t xml:space="preserve">CONTENIDO</w:t>
      </w:r>
      <w:r w:rsidDel="00000000" w:rsidR="00000000" w:rsidRPr="00000000">
        <w:rPr>
          <w:rtl w:val="0"/>
        </w:rPr>
      </w:r>
    </w:p>
    <w:sdt>
      <w:sdtPr>
        <w:id w:val="43627655"/>
        <w:docPartObj>
          <w:docPartGallery w:val="Table of Contents"/>
          <w:docPartUnique w:val="1"/>
        </w:docPartObj>
      </w:sdtPr>
      <w:sdtContent>
        <w:p w:rsidR="00000000" w:rsidDel="00000000" w:rsidP="00000000" w:rsidRDefault="00000000" w:rsidRPr="00000000" w14:paraId="00000008">
          <w:pPr>
            <w:widowControl w:val="0"/>
            <w:tabs>
              <w:tab w:val="right" w:leader="none" w:pos="12000"/>
            </w:tabs>
            <w:spacing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INTRODUCCIÓN</w:t>
              <w:tab/>
              <w:t xml:space="preserve">3</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 INFORMACIÓN GENERAL</w:t>
              <w:tab/>
              <w:t xml:space="preserve">4</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 LOCALIZACIÓN</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 DESCRIPCIÓN DEL PROYECTO</w:t>
              <w:tab/>
              <w:t xml:space="preserve">5</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1.2.1 Diagrama de flujo del proceso</w:t>
              <w:tab/>
              <w:t xml:space="preserve">5</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1.2.2 Alistamiento</w:t>
              <w:tab/>
              <w:t xml:space="preserve">6</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1.2.3 Unidades productivas</w:t>
              <w:tab/>
              <w:t xml:space="preserve">7</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 USOS DEL RECURSO HÍDRICO</w:t>
              <w:tab/>
              <w:t xml:space="preserve">8</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1.4 FUENTE DE ABASTECIMIENTO DEL RECURSO HÍDRICO</w:t>
              <w:tab/>
              <w:t xml:space="preserve">8</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 SISTEMA DE TRATAMIENTO, ALMACENAMIENTO Y DISTRIBUCIÓN</w:t>
              <w:tab/>
              <w:t xml:space="preserve">9</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 COSTOS DEL PROYECTO</w:t>
              <w:tab/>
              <w:t xml:space="preserve">11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3">
      <w:pPr>
        <w:rPr/>
      </w:pPr>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1"/>
        <w:spacing w:after="80" w:before="360" w:lineRule="auto"/>
        <w:jc w:val="left"/>
        <w:rPr/>
      </w:pPr>
      <w:r w:rsidDel="00000000" w:rsidR="00000000" w:rsidRPr="00000000">
        <w:rPr>
          <w:rFonts w:ascii="Tahoma" w:cs="Tahoma" w:eastAsia="Tahoma" w:hAnsi="Tahoma"/>
          <w:b w:val="1"/>
          <w:bCs w:val="1"/>
          <w:smallCaps w:val="1"/>
          <w:color w:val="000000"/>
          <w:sz w:val="28"/>
          <w:szCs w:val="28"/>
          <w:rtl w:val="0"/>
        </w:rPr>
        <w:t xml:space="preserve">INTRODUCCIÓN</w:t>
      </w:r>
      <w:r w:rsidDel="00000000" w:rsidR="00000000" w:rsidRPr="00000000">
        <w:rPr>
          <w:rtl w:val="0"/>
        </w:rPr>
      </w:r>
    </w:p>
    <w:p w:rsidR="00000000" w:rsidDel="00000000" w:rsidP="00000000" w:rsidRDefault="00000000" w:rsidRPr="00000000" w14:paraId="00000015">
      <w:pPr>
        <w:spacing w:after="160" w:line="259" w:lineRule="auto"/>
        <w:jc w:val="both"/>
        <w:rPr/>
      </w:pPr>
      <w:r w:rsidDel="00000000" w:rsidR="00000000" w:rsidRPr="00000000">
        <w:rPr>
          <w:rFonts w:ascii="Tahoma" w:cs="Tahoma" w:eastAsia="Tahoma" w:hAnsi="Tahoma"/>
          <w:color w:val="000000"/>
          <w:sz w:val="22"/>
          <w:szCs w:val="22"/>
          <w:rtl w:val="0"/>
        </w:rPr>
        <w:t xml:space="preserve">El artículo 80 de la Constitución Política de Colombia establece el deber del Estado de planificar el manejo y aprovechamiento de los recursos naturales, para garantizar su desarrollo sostenible, su conservación, restauración o sustitución. En desarrollo de este mandato constitucional, el Decreto 1076 de 2015 reglamenta el régimen de concesiones de aguas, estableciendo los requisitos, procedimientos y condiciones bajo los cuales las autoridades ambientales competentes otorgan el derecho al uso del recurso hídrico. De igual manera, la Ley 373 de 1997 impone a todo usuario del recurso la obligación de formular y ejecutar un Programa de Uso Eficiente y Ahorro del Agua, como instrumento de planificación vinculante para la Corporación Autónoma Regional de Santander (CAS).</w:t>
      </w:r>
      <w:r w:rsidDel="00000000" w:rsidR="00000000" w:rsidRPr="00000000">
        <w:rPr>
          <w:rtl w:val="0"/>
        </w:rPr>
      </w:r>
    </w:p>
    <w:p w:rsidR="00000000" w:rsidDel="00000000" w:rsidP="00000000" w:rsidRDefault="00000000" w:rsidRPr="00000000" w14:paraId="00000016">
      <w:pPr>
        <w:spacing w:after="160" w:line="259" w:lineRule="auto"/>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AVSA SA, identificada con NIT 8902018814 y representada legalmente por MARIA ISABEL MONTAÑEZ CAMARGO, presenta ante la CAS la solicitud de concesión de aguas subterráneas para el aprovechamiento de un pozo profundo ubicado en la vereda Aguas Claras, municipio de Sabana de Torres, Santander, con destino a los usos pecuario, doméstico y de desinfección asociados a la operación de la Granja Avícola Jamaica, por un caudal total de 4,844 L/s. La documentación técnica que integra este soporte da cumplimiento a los requisitos técnicos, jurídicos y ambientales establecidos en la normativa citada para el otorgamiento de la concesión solicitada.</w:t>
      </w:r>
    </w:p>
    <w:p w:rsidR="00000000" w:rsidDel="00000000" w:rsidP="00000000" w:rsidRDefault="00000000" w:rsidRPr="00000000" w14:paraId="00000017">
      <w:pPr>
        <w:spacing w:after="160" w:line="259" w:lineRule="auto"/>
        <w:jc w:val="both"/>
        <w:rPr/>
      </w:pPr>
      <w:r w:rsidDel="00000000" w:rsidR="00000000" w:rsidRPr="00000000">
        <w:rPr>
          <w:rtl w:val="0"/>
        </w:rPr>
      </w:r>
    </w:p>
    <w:p w:rsidR="00000000" w:rsidDel="00000000" w:rsidP="00000000" w:rsidRDefault="00000000" w:rsidRPr="00000000" w14:paraId="00000018">
      <w:pPr>
        <w:spacing w:after="160" w:line="259" w:lineRule="auto"/>
        <w:jc w:val="both"/>
        <w:rPr/>
      </w:pPr>
      <w:r w:rsidDel="00000000" w:rsidR="00000000" w:rsidRPr="00000000">
        <w:rPr>
          <w:rtl w:val="0"/>
        </w:rPr>
      </w:r>
    </w:p>
    <w:p w:rsidR="00000000" w:rsidDel="00000000" w:rsidP="00000000" w:rsidRDefault="00000000" w:rsidRPr="00000000" w14:paraId="00000019">
      <w:pPr>
        <w:spacing w:after="160" w:line="259" w:lineRule="auto"/>
        <w:jc w:val="both"/>
        <w:rPr/>
      </w:pPr>
      <w:r w:rsidDel="00000000" w:rsidR="00000000" w:rsidRPr="00000000">
        <w:rPr>
          <w:rtl w:val="0"/>
        </w:rPr>
      </w:r>
    </w:p>
    <w:p w:rsidR="00000000" w:rsidDel="00000000" w:rsidP="00000000" w:rsidRDefault="00000000" w:rsidRPr="00000000" w14:paraId="0000001A">
      <w:pPr>
        <w:spacing w:after="160" w:line="259" w:lineRule="auto"/>
        <w:jc w:val="both"/>
        <w:rPr/>
      </w:pPr>
      <w:r w:rsidDel="00000000" w:rsidR="00000000" w:rsidRPr="00000000">
        <w:rPr>
          <w:rtl w:val="0"/>
        </w:rPr>
      </w:r>
    </w:p>
    <w:p w:rsidR="00000000" w:rsidDel="00000000" w:rsidP="00000000" w:rsidRDefault="00000000" w:rsidRPr="00000000" w14:paraId="0000001B">
      <w:pPr>
        <w:spacing w:after="160" w:line="259" w:lineRule="auto"/>
        <w:jc w:val="both"/>
        <w:rPr/>
      </w:pPr>
      <w:r w:rsidDel="00000000" w:rsidR="00000000" w:rsidRPr="00000000">
        <w:rPr>
          <w:rtl w:val="0"/>
        </w:rPr>
      </w:r>
    </w:p>
    <w:p w:rsidR="00000000" w:rsidDel="00000000" w:rsidP="00000000" w:rsidRDefault="00000000" w:rsidRPr="00000000" w14:paraId="0000001C">
      <w:pPr>
        <w:spacing w:after="160" w:line="259" w:lineRule="auto"/>
        <w:jc w:val="both"/>
        <w:rPr/>
      </w:pPr>
      <w:r w:rsidDel="00000000" w:rsidR="00000000" w:rsidRPr="00000000">
        <w:rPr>
          <w:rtl w:val="0"/>
        </w:rPr>
      </w:r>
    </w:p>
    <w:p w:rsidR="00000000" w:rsidDel="00000000" w:rsidP="00000000" w:rsidRDefault="00000000" w:rsidRPr="00000000" w14:paraId="0000001D">
      <w:pPr>
        <w:spacing w:after="160" w:line="259" w:lineRule="auto"/>
        <w:jc w:val="both"/>
        <w:rPr/>
      </w:pPr>
      <w:r w:rsidDel="00000000" w:rsidR="00000000" w:rsidRPr="00000000">
        <w:rPr>
          <w:rtl w:val="0"/>
        </w:rPr>
      </w:r>
    </w:p>
    <w:p w:rsidR="00000000" w:rsidDel="00000000" w:rsidP="00000000" w:rsidRDefault="00000000" w:rsidRPr="00000000" w14:paraId="0000001E">
      <w:pPr>
        <w:spacing w:after="160" w:line="259" w:lineRule="auto"/>
        <w:jc w:val="both"/>
        <w:rPr/>
      </w:pPr>
      <w:r w:rsidDel="00000000" w:rsidR="00000000" w:rsidRPr="00000000">
        <w:rPr>
          <w:rtl w:val="0"/>
        </w:rPr>
      </w:r>
    </w:p>
    <w:p w:rsidR="00000000" w:rsidDel="00000000" w:rsidP="00000000" w:rsidRDefault="00000000" w:rsidRPr="00000000" w14:paraId="0000001F">
      <w:pPr>
        <w:spacing w:after="160" w:line="259" w:lineRule="auto"/>
        <w:jc w:val="both"/>
        <w:rPr/>
      </w:pPr>
      <w:r w:rsidDel="00000000" w:rsidR="00000000" w:rsidRPr="00000000">
        <w:rPr>
          <w:rtl w:val="0"/>
        </w:rPr>
      </w:r>
    </w:p>
    <w:p w:rsidR="00000000" w:rsidDel="00000000" w:rsidP="00000000" w:rsidRDefault="00000000" w:rsidRPr="00000000" w14:paraId="00000020">
      <w:pPr>
        <w:spacing w:after="160" w:line="259" w:lineRule="auto"/>
        <w:jc w:val="both"/>
        <w:rPr/>
      </w:pPr>
      <w:r w:rsidDel="00000000" w:rsidR="00000000" w:rsidRPr="00000000">
        <w:rPr>
          <w:rtl w:val="0"/>
        </w:rPr>
      </w:r>
    </w:p>
    <w:p w:rsidR="00000000" w:rsidDel="00000000" w:rsidP="00000000" w:rsidRDefault="00000000" w:rsidRPr="00000000" w14:paraId="00000021">
      <w:pPr>
        <w:spacing w:after="160" w:line="259" w:lineRule="auto"/>
        <w:jc w:val="both"/>
        <w:rPr/>
      </w:pPr>
      <w:r w:rsidDel="00000000" w:rsidR="00000000" w:rsidRPr="00000000">
        <w:rPr>
          <w:rtl w:val="0"/>
        </w:rPr>
      </w:r>
    </w:p>
    <w:p w:rsidR="00000000" w:rsidDel="00000000" w:rsidP="00000000" w:rsidRDefault="00000000" w:rsidRPr="00000000" w14:paraId="00000022">
      <w:pPr>
        <w:spacing w:after="160" w:line="259" w:lineRule="auto"/>
        <w:jc w:val="both"/>
        <w:rPr/>
      </w:pPr>
      <w:r w:rsidDel="00000000" w:rsidR="00000000" w:rsidRPr="00000000">
        <w:rPr>
          <w:rtl w:val="0"/>
        </w:rPr>
      </w:r>
    </w:p>
    <w:p w:rsidR="00000000" w:rsidDel="00000000" w:rsidP="00000000" w:rsidRDefault="00000000" w:rsidRPr="00000000" w14:paraId="00000023">
      <w:pPr>
        <w:spacing w:after="160" w:line="259" w:lineRule="auto"/>
        <w:jc w:val="both"/>
        <w:rPr/>
      </w:pPr>
      <w:r w:rsidDel="00000000" w:rsidR="00000000" w:rsidRPr="00000000">
        <w:rPr>
          <w:rtl w:val="0"/>
        </w:rPr>
      </w:r>
    </w:p>
    <w:p w:rsidR="00000000" w:rsidDel="00000000" w:rsidP="00000000" w:rsidRDefault="00000000" w:rsidRPr="00000000" w14:paraId="00000024">
      <w:pPr>
        <w:spacing w:after="160" w:line="259" w:lineRule="auto"/>
        <w:jc w:val="both"/>
        <w:rPr/>
      </w:pPr>
      <w:r w:rsidDel="00000000" w:rsidR="00000000" w:rsidRPr="00000000">
        <w:rPr>
          <w:rtl w:val="0"/>
        </w:rPr>
      </w:r>
    </w:p>
    <w:p w:rsidR="00000000" w:rsidDel="00000000" w:rsidP="00000000" w:rsidRDefault="00000000" w:rsidRPr="00000000" w14:paraId="00000025">
      <w:pPr>
        <w:spacing w:after="160" w:line="259" w:lineRule="auto"/>
        <w:jc w:val="both"/>
        <w:rPr/>
      </w:pPr>
      <w:r w:rsidDel="00000000" w:rsidR="00000000" w:rsidRPr="00000000">
        <w:rPr>
          <w:rtl w:val="0"/>
        </w:rPr>
      </w:r>
    </w:p>
    <w:p w:rsidR="00000000" w:rsidDel="00000000" w:rsidP="00000000" w:rsidRDefault="00000000" w:rsidRPr="00000000" w14:paraId="00000026">
      <w:pPr>
        <w:spacing w:after="160" w:line="259" w:lineRule="auto"/>
        <w:jc w:val="both"/>
        <w:rPr/>
      </w:pPr>
      <w:r w:rsidDel="00000000" w:rsidR="00000000" w:rsidRPr="00000000">
        <w:rPr>
          <w:rtl w:val="0"/>
        </w:rPr>
      </w:r>
    </w:p>
    <w:p w:rsidR="00000000" w:rsidDel="00000000" w:rsidP="00000000" w:rsidRDefault="00000000" w:rsidRPr="00000000" w14:paraId="00000027">
      <w:pPr>
        <w:pStyle w:val="Heading1"/>
        <w:spacing w:after="80" w:before="360" w:lineRule="auto"/>
        <w:jc w:val="left"/>
        <w:rPr>
          <w:rFonts w:ascii="Tahoma" w:cs="Tahoma" w:eastAsia="Tahoma" w:hAnsi="Tahoma"/>
          <w:b w:val="1"/>
          <w:bCs w:val="1"/>
          <w:smallCaps w:val="1"/>
          <w:color w:val="000000"/>
          <w:sz w:val="28"/>
          <w:szCs w:val="28"/>
        </w:rPr>
      </w:pPr>
      <w:r w:rsidDel="00000000" w:rsidR="00000000" w:rsidRPr="00000000">
        <w:rPr>
          <w:rFonts w:ascii="Tahoma" w:cs="Tahoma" w:eastAsia="Tahoma" w:hAnsi="Tahoma"/>
          <w:b w:val="1"/>
          <w:bCs w:val="1"/>
          <w:smallCaps w:val="1"/>
          <w:color w:val="000000"/>
          <w:sz w:val="28"/>
          <w:szCs w:val="28"/>
          <w:rtl w:val="0"/>
        </w:rPr>
        <w:t xml:space="preserve">1. INFORMACIÓN GENERAL</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spacing w:after="160" w:line="259" w:lineRule="auto"/>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El proyecto </w:t>
      </w:r>
      <w:r w:rsidDel="00000000" w:rsidR="00000000" w:rsidRPr="00000000">
        <w:rPr>
          <w:rFonts w:ascii="Tahoma" w:cs="Tahoma" w:eastAsia="Tahoma" w:hAnsi="Tahoma"/>
          <w:b w:val="1"/>
          <w:bCs w:val="1"/>
          <w:color w:val="000000"/>
          <w:sz w:val="22"/>
          <w:szCs w:val="22"/>
          <w:rtl w:val="0"/>
        </w:rPr>
        <w:t xml:space="preserve">Granja Avícola Jamaica</w:t>
      </w:r>
      <w:r w:rsidDel="00000000" w:rsidR="00000000" w:rsidRPr="00000000">
        <w:rPr>
          <w:rFonts w:ascii="Tahoma" w:cs="Tahoma" w:eastAsia="Tahoma" w:hAnsi="Tahoma"/>
          <w:color w:val="000000"/>
          <w:sz w:val="22"/>
          <w:szCs w:val="22"/>
          <w:rtl w:val="0"/>
        </w:rPr>
        <w:t xml:space="preserve">, propiedad de </w:t>
      </w:r>
      <w:r w:rsidDel="00000000" w:rsidR="00000000" w:rsidRPr="00000000">
        <w:rPr>
          <w:rFonts w:ascii="Tahoma" w:cs="Tahoma" w:eastAsia="Tahoma" w:hAnsi="Tahoma"/>
          <w:b w:val="1"/>
          <w:bCs w:val="1"/>
          <w:color w:val="000000"/>
          <w:sz w:val="22"/>
          <w:szCs w:val="22"/>
          <w:rtl w:val="0"/>
        </w:rPr>
        <w:t xml:space="preserve">AVSA SA</w:t>
      </w:r>
      <w:r w:rsidDel="00000000" w:rsidR="00000000" w:rsidRPr="00000000">
        <w:rPr>
          <w:rFonts w:ascii="Tahoma" w:cs="Tahoma" w:eastAsia="Tahoma" w:hAnsi="Tahoma"/>
          <w:color w:val="000000"/>
          <w:sz w:val="22"/>
          <w:szCs w:val="22"/>
          <w:rtl w:val="0"/>
        </w:rPr>
        <w:t xml:space="preserve">, se desarrolla en la </w:t>
      </w:r>
      <w:r w:rsidDel="00000000" w:rsidR="00000000" w:rsidRPr="00000000">
        <w:rPr>
          <w:rFonts w:ascii="Tahoma" w:cs="Tahoma" w:eastAsia="Tahoma" w:hAnsi="Tahoma"/>
          <w:b w:val="1"/>
          <w:bCs w:val="1"/>
          <w:color w:val="000000"/>
          <w:sz w:val="22"/>
          <w:szCs w:val="22"/>
          <w:rtl w:val="0"/>
        </w:rPr>
        <w:t xml:space="preserve">vereda Aguas Claras</w:t>
      </w:r>
      <w:r w:rsidDel="00000000" w:rsidR="00000000" w:rsidRPr="00000000">
        <w:rPr>
          <w:rFonts w:ascii="Tahoma" w:cs="Tahoma" w:eastAsia="Tahoma" w:hAnsi="Tahoma"/>
          <w:color w:val="000000"/>
          <w:sz w:val="22"/>
          <w:szCs w:val="22"/>
          <w:rtl w:val="0"/>
        </w:rPr>
        <w:t xml:space="preserve"> del </w:t>
      </w:r>
      <w:r w:rsidDel="00000000" w:rsidR="00000000" w:rsidRPr="00000000">
        <w:rPr>
          <w:rFonts w:ascii="Tahoma" w:cs="Tahoma" w:eastAsia="Tahoma" w:hAnsi="Tahoma"/>
          <w:b w:val="1"/>
          <w:bCs w:val="1"/>
          <w:color w:val="000000"/>
          <w:sz w:val="22"/>
          <w:szCs w:val="22"/>
          <w:rtl w:val="0"/>
        </w:rPr>
        <w:t xml:space="preserve">municipio de Sabana de Torres, Santander</w:t>
      </w:r>
      <w:r w:rsidDel="00000000" w:rsidR="00000000" w:rsidRPr="00000000">
        <w:rPr>
          <w:rFonts w:ascii="Tahoma" w:cs="Tahoma" w:eastAsia="Tahoma" w:hAnsi="Tahoma"/>
          <w:color w:val="000000"/>
          <w:sz w:val="22"/>
          <w:szCs w:val="22"/>
          <w:rtl w:val="0"/>
        </w:rPr>
        <w:t xml:space="preserve">. En la siguiente tabla se registran los datos generales del proyecto.</w:t>
      </w:r>
    </w:p>
    <w:p w:rsidR="00000000" w:rsidDel="00000000" w:rsidP="00000000" w:rsidRDefault="00000000" w:rsidRPr="00000000" w14:paraId="0000002A">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1. Información general de Granja Avícola Jamaica</w:t>
      </w:r>
      <w:r w:rsidDel="00000000" w:rsidR="00000000" w:rsidRPr="00000000">
        <w:rPr>
          <w:rtl w:val="0"/>
        </w:rPr>
      </w:r>
    </w:p>
    <w:tbl>
      <w:tblPr>
        <w:tblStyle w:val="Table1"/>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00"/>
        <w:gridCol w:w="6060"/>
        <w:tblGridChange w:id="0">
          <w:tblGrid>
            <w:gridCol w:w="3300"/>
            <w:gridCol w:w="606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2B">
            <w:pPr>
              <w:jc w:val="center"/>
              <w:rPr/>
            </w:pPr>
            <w:r w:rsidDel="00000000" w:rsidR="00000000" w:rsidRPr="00000000">
              <w:rPr>
                <w:rFonts w:ascii="Tahoma" w:cs="Tahoma" w:eastAsia="Tahoma" w:hAnsi="Tahoma"/>
                <w:b w:val="1"/>
                <w:bCs w:val="1"/>
                <w:color w:val="000000"/>
                <w:sz w:val="22"/>
                <w:szCs w:val="22"/>
                <w:rtl w:val="0"/>
              </w:rPr>
              <w:t xml:space="preserve">INFORMACIÓN</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2C">
            <w:pPr>
              <w:jc w:val="center"/>
              <w:rPr/>
            </w:pPr>
            <w:r w:rsidDel="00000000" w:rsidR="00000000" w:rsidRPr="00000000">
              <w:rPr>
                <w:rFonts w:ascii="Tahoma" w:cs="Tahoma" w:eastAsia="Tahoma" w:hAnsi="Tahoma"/>
                <w:b w:val="1"/>
                <w:bCs w:val="1"/>
                <w:color w:val="000000"/>
                <w:sz w:val="22"/>
                <w:szCs w:val="22"/>
                <w:rtl w:val="0"/>
              </w:rPr>
              <w:t xml:space="preserve">DATO</w:t>
            </w:r>
            <w:r w:rsidDel="00000000" w:rsidR="00000000" w:rsidRPr="00000000">
              <w:rPr>
                <w:rtl w:val="0"/>
              </w:rPr>
            </w:r>
          </w:p>
        </w:tc>
      </w:tr>
      <w:tr>
        <w:trPr>
          <w:cantSplit w:val="0"/>
          <w:trHeight w:val="295.546875" w:hRule="atLeast"/>
          <w:tblHeader w:val="0"/>
        </w:trPr>
        <w:tc>
          <w:tcPr>
            <w:tcMar>
              <w:top w:w="80.0" w:type="dxa"/>
              <w:left w:w="120.0" w:type="dxa"/>
              <w:bottom w:w="80.0" w:type="dxa"/>
              <w:right w:w="120.0" w:type="dxa"/>
            </w:tcMar>
          </w:tcPr>
          <w:p w:rsidR="00000000" w:rsidDel="00000000" w:rsidP="00000000" w:rsidRDefault="00000000" w:rsidRPr="00000000" w14:paraId="0000002D">
            <w:pPr>
              <w:jc w:val="left"/>
              <w:rPr/>
            </w:pPr>
            <w:r w:rsidDel="00000000" w:rsidR="00000000" w:rsidRPr="00000000">
              <w:rPr>
                <w:rFonts w:ascii="Tahoma" w:cs="Tahoma" w:eastAsia="Tahoma" w:hAnsi="Tahoma"/>
                <w:b w:val="1"/>
                <w:bCs w:val="1"/>
                <w:color w:val="000000"/>
                <w:sz w:val="22"/>
                <w:szCs w:val="22"/>
                <w:rtl w:val="0"/>
              </w:rPr>
              <w:t xml:space="preserve">Nombre del proyecto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2E">
            <w:pPr>
              <w:jc w:val="left"/>
              <w:rPr/>
            </w:pPr>
            <w:r w:rsidDel="00000000" w:rsidR="00000000" w:rsidRPr="00000000">
              <w:rPr>
                <w:rFonts w:ascii="Tahoma" w:cs="Tahoma" w:eastAsia="Tahoma" w:hAnsi="Tahoma"/>
                <w:color w:val="000000"/>
                <w:sz w:val="22"/>
                <w:szCs w:val="22"/>
                <w:rtl w:val="0"/>
              </w:rPr>
              <w:t xml:space="preserve">Granja Avícola Jamaica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2F">
            <w:pPr>
              <w:jc w:val="left"/>
              <w:rPr/>
            </w:pPr>
            <w:r w:rsidDel="00000000" w:rsidR="00000000" w:rsidRPr="00000000">
              <w:rPr>
                <w:rFonts w:ascii="Tahoma" w:cs="Tahoma" w:eastAsia="Tahoma" w:hAnsi="Tahoma"/>
                <w:b w:val="1"/>
                <w:bCs w:val="1"/>
                <w:color w:val="000000"/>
                <w:sz w:val="22"/>
                <w:szCs w:val="22"/>
                <w:rtl w:val="0"/>
              </w:rPr>
              <w:t xml:space="preserve">Nombre de la empresa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30">
            <w:pPr>
              <w:jc w:val="left"/>
              <w:rPr/>
            </w:pPr>
            <w:r w:rsidDel="00000000" w:rsidR="00000000" w:rsidRPr="00000000">
              <w:rPr>
                <w:rFonts w:ascii="Tahoma" w:cs="Tahoma" w:eastAsia="Tahoma" w:hAnsi="Tahoma"/>
                <w:color w:val="000000"/>
                <w:sz w:val="22"/>
                <w:szCs w:val="22"/>
                <w:rtl w:val="0"/>
              </w:rPr>
              <w:t xml:space="preserve">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31">
            <w:pPr>
              <w:jc w:val="left"/>
              <w:rPr/>
            </w:pPr>
            <w:r w:rsidDel="00000000" w:rsidR="00000000" w:rsidRPr="00000000">
              <w:rPr>
                <w:rFonts w:ascii="Tahoma" w:cs="Tahoma" w:eastAsia="Tahoma" w:hAnsi="Tahoma"/>
                <w:b w:val="1"/>
                <w:bCs w:val="1"/>
                <w:color w:val="000000"/>
                <w:sz w:val="22"/>
                <w:szCs w:val="22"/>
                <w:rtl w:val="0"/>
              </w:rPr>
              <w:t xml:space="preserve">NIT</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32">
            <w:pPr>
              <w:jc w:val="left"/>
              <w:rPr/>
            </w:pPr>
            <w:r w:rsidDel="00000000" w:rsidR="00000000" w:rsidRPr="00000000">
              <w:rPr>
                <w:rFonts w:ascii="Tahoma" w:cs="Tahoma" w:eastAsia="Tahoma" w:hAnsi="Tahoma"/>
                <w:color w:val="000000"/>
                <w:sz w:val="22"/>
                <w:szCs w:val="22"/>
                <w:rtl w:val="0"/>
              </w:rPr>
              <w:t xml:space="preserve">890201881-4</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33">
            <w:pPr>
              <w:jc w:val="left"/>
              <w:rPr/>
            </w:pPr>
            <w:r w:rsidDel="00000000" w:rsidR="00000000" w:rsidRPr="00000000">
              <w:rPr>
                <w:rFonts w:ascii="Tahoma" w:cs="Tahoma" w:eastAsia="Tahoma" w:hAnsi="Tahoma"/>
                <w:b w:val="1"/>
                <w:bCs w:val="1"/>
                <w:color w:val="000000"/>
                <w:sz w:val="22"/>
                <w:szCs w:val="22"/>
                <w:rtl w:val="0"/>
              </w:rPr>
              <w:t xml:space="preserve">Vereda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34">
            <w:pPr>
              <w:jc w:val="left"/>
              <w:rPr/>
            </w:pPr>
            <w:r w:rsidDel="00000000" w:rsidR="00000000" w:rsidRPr="00000000">
              <w:rPr>
                <w:rFonts w:ascii="Tahoma" w:cs="Tahoma" w:eastAsia="Tahoma" w:hAnsi="Tahoma"/>
                <w:color w:val="000000"/>
                <w:sz w:val="22"/>
                <w:szCs w:val="22"/>
                <w:rtl w:val="0"/>
              </w:rPr>
              <w:t xml:space="preserve">Aguas Claras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35">
            <w:pPr>
              <w:jc w:val="left"/>
              <w:rPr/>
            </w:pPr>
            <w:r w:rsidDel="00000000" w:rsidR="00000000" w:rsidRPr="00000000">
              <w:rPr>
                <w:rFonts w:ascii="Tahoma" w:cs="Tahoma" w:eastAsia="Tahoma" w:hAnsi="Tahoma"/>
                <w:b w:val="1"/>
                <w:bCs w:val="1"/>
                <w:color w:val="000000"/>
                <w:sz w:val="22"/>
                <w:szCs w:val="22"/>
                <w:rtl w:val="0"/>
              </w:rPr>
              <w:t xml:space="preserve">Municipio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36">
            <w:pPr>
              <w:jc w:val="left"/>
              <w:rPr/>
            </w:pPr>
            <w:r w:rsidDel="00000000" w:rsidR="00000000" w:rsidRPr="00000000">
              <w:rPr>
                <w:rFonts w:ascii="Tahoma" w:cs="Tahoma" w:eastAsia="Tahoma" w:hAnsi="Tahoma"/>
                <w:color w:val="000000"/>
                <w:sz w:val="22"/>
                <w:szCs w:val="22"/>
                <w:rtl w:val="0"/>
              </w:rPr>
              <w:t xml:space="preserve">Sabana de Torres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37">
            <w:pPr>
              <w:jc w:val="left"/>
              <w:rPr/>
            </w:pPr>
            <w:r w:rsidDel="00000000" w:rsidR="00000000" w:rsidRPr="00000000">
              <w:rPr>
                <w:rFonts w:ascii="Tahoma" w:cs="Tahoma" w:eastAsia="Tahoma" w:hAnsi="Tahoma"/>
                <w:b w:val="1"/>
                <w:bCs w:val="1"/>
                <w:color w:val="000000"/>
                <w:sz w:val="22"/>
                <w:szCs w:val="22"/>
                <w:rtl w:val="0"/>
              </w:rPr>
              <w:t xml:space="preserve">Departamento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38">
            <w:pPr>
              <w:jc w:val="left"/>
              <w:rPr/>
            </w:pPr>
            <w:r w:rsidDel="00000000" w:rsidR="00000000" w:rsidRPr="00000000">
              <w:rPr>
                <w:rFonts w:ascii="Tahoma" w:cs="Tahoma" w:eastAsia="Tahoma" w:hAnsi="Tahoma"/>
                <w:color w:val="000000"/>
                <w:sz w:val="22"/>
                <w:szCs w:val="22"/>
                <w:rtl w:val="0"/>
              </w:rPr>
              <w:t xml:space="preserve">Santander</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39">
            <w:pPr>
              <w:jc w:val="left"/>
              <w:rPr/>
            </w:pPr>
            <w:r w:rsidDel="00000000" w:rsidR="00000000" w:rsidRPr="00000000">
              <w:rPr>
                <w:rFonts w:ascii="Tahoma" w:cs="Tahoma" w:eastAsia="Tahoma" w:hAnsi="Tahoma"/>
                <w:b w:val="1"/>
                <w:bCs w:val="1"/>
                <w:color w:val="000000"/>
                <w:sz w:val="22"/>
                <w:szCs w:val="22"/>
                <w:rtl w:val="0"/>
              </w:rPr>
              <w:t xml:space="preserve">Abastecimiento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3A">
            <w:pPr>
              <w:jc w:val="left"/>
              <w:rPr/>
            </w:pPr>
            <w:r w:rsidDel="00000000" w:rsidR="00000000" w:rsidRPr="00000000">
              <w:rPr>
                <w:rFonts w:ascii="Tahoma" w:cs="Tahoma" w:eastAsia="Tahoma" w:hAnsi="Tahoma"/>
                <w:color w:val="000000"/>
                <w:sz w:val="22"/>
                <w:szCs w:val="22"/>
                <w:rtl w:val="0"/>
              </w:rPr>
              <w:t xml:space="preserve">Subterránea</w:t>
            </w:r>
            <w:r w:rsidDel="00000000" w:rsidR="00000000" w:rsidRPr="00000000">
              <w:rPr>
                <w:rtl w:val="0"/>
              </w:rPr>
            </w:r>
          </w:p>
        </w:tc>
      </w:tr>
    </w:tbl>
    <w:p w:rsidR="00000000" w:rsidDel="00000000" w:rsidP="00000000" w:rsidRDefault="00000000" w:rsidRPr="00000000" w14:paraId="0000003B">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3C">
      <w:pPr>
        <w:pStyle w:val="Heading2"/>
        <w:spacing w:after="80" w:before="160" w:lineRule="auto"/>
        <w:rPr>
          <w:rFonts w:ascii="Tahoma" w:cs="Tahoma" w:eastAsia="Tahoma" w:hAnsi="Tahoma"/>
          <w:b w:val="1"/>
          <w:bCs w:val="1"/>
          <w:color w:val="000000"/>
          <w:sz w:val="26"/>
          <w:szCs w:val="26"/>
        </w:rPr>
      </w:pPr>
      <w:r w:rsidDel="00000000" w:rsidR="00000000" w:rsidRPr="00000000">
        <w:rPr>
          <w:rFonts w:ascii="Tahoma" w:cs="Tahoma" w:eastAsia="Tahoma" w:hAnsi="Tahoma"/>
          <w:b w:val="1"/>
          <w:bCs w:val="1"/>
          <w:color w:val="000000"/>
          <w:sz w:val="26"/>
          <w:szCs w:val="26"/>
          <w:rtl w:val="0"/>
        </w:rPr>
        <w:t xml:space="preserve">1.1 LOCALIZACIÓN</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spacing w:after="160" w:line="259" w:lineRule="auto"/>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El proyecto </w:t>
      </w:r>
      <w:r w:rsidDel="00000000" w:rsidR="00000000" w:rsidRPr="00000000">
        <w:rPr>
          <w:rFonts w:ascii="Tahoma" w:cs="Tahoma" w:eastAsia="Tahoma" w:hAnsi="Tahoma"/>
          <w:b w:val="1"/>
          <w:bCs w:val="1"/>
          <w:color w:val="000000"/>
          <w:sz w:val="22"/>
          <w:szCs w:val="22"/>
          <w:rtl w:val="0"/>
        </w:rPr>
        <w:t xml:space="preserve">Granja Avícola Jamaica</w:t>
      </w:r>
      <w:r w:rsidDel="00000000" w:rsidR="00000000" w:rsidRPr="00000000">
        <w:rPr>
          <w:rFonts w:ascii="Tahoma" w:cs="Tahoma" w:eastAsia="Tahoma" w:hAnsi="Tahoma"/>
          <w:color w:val="000000"/>
          <w:sz w:val="22"/>
          <w:szCs w:val="22"/>
          <w:rtl w:val="0"/>
        </w:rPr>
        <w:t xml:space="preserve"> se localiza en el municipio de </w:t>
      </w:r>
      <w:r w:rsidDel="00000000" w:rsidR="00000000" w:rsidRPr="00000000">
        <w:rPr>
          <w:rFonts w:ascii="Tahoma" w:cs="Tahoma" w:eastAsia="Tahoma" w:hAnsi="Tahoma"/>
          <w:b w:val="1"/>
          <w:bCs w:val="1"/>
          <w:color w:val="000000"/>
          <w:sz w:val="22"/>
          <w:szCs w:val="22"/>
          <w:rtl w:val="0"/>
        </w:rPr>
        <w:t xml:space="preserve">Sabana de Torres</w:t>
      </w:r>
      <w:r w:rsidDel="00000000" w:rsidR="00000000" w:rsidRPr="00000000">
        <w:rPr>
          <w:rFonts w:ascii="Tahoma" w:cs="Tahoma" w:eastAsia="Tahoma" w:hAnsi="Tahoma"/>
          <w:color w:val="000000"/>
          <w:sz w:val="22"/>
          <w:szCs w:val="22"/>
          <w:rtl w:val="0"/>
        </w:rPr>
        <w:t xml:space="preserve">, departamento de </w:t>
      </w:r>
      <w:r w:rsidDel="00000000" w:rsidR="00000000" w:rsidRPr="00000000">
        <w:rPr>
          <w:rFonts w:ascii="Tahoma" w:cs="Tahoma" w:eastAsia="Tahoma" w:hAnsi="Tahoma"/>
          <w:b w:val="1"/>
          <w:bCs w:val="1"/>
          <w:color w:val="000000"/>
          <w:sz w:val="22"/>
          <w:szCs w:val="22"/>
          <w:rtl w:val="0"/>
        </w:rPr>
        <w:t xml:space="preserve">Santander</w:t>
      </w:r>
      <w:r w:rsidDel="00000000" w:rsidR="00000000" w:rsidRPr="00000000">
        <w:rPr>
          <w:rFonts w:ascii="Tahoma" w:cs="Tahoma" w:eastAsia="Tahoma" w:hAnsi="Tahoma"/>
          <w:color w:val="000000"/>
          <w:sz w:val="22"/>
          <w:szCs w:val="22"/>
          <w:rtl w:val="0"/>
        </w:rPr>
        <w:t xml:space="preserve">, dentro del área rural en jurisdicción de la vereda </w:t>
      </w:r>
      <w:r w:rsidDel="00000000" w:rsidR="00000000" w:rsidRPr="00000000">
        <w:rPr>
          <w:rFonts w:ascii="Tahoma" w:cs="Tahoma" w:eastAsia="Tahoma" w:hAnsi="Tahoma"/>
          <w:b w:val="1"/>
          <w:bCs w:val="1"/>
          <w:color w:val="000000"/>
          <w:sz w:val="22"/>
          <w:szCs w:val="22"/>
          <w:rtl w:val="0"/>
        </w:rPr>
        <w:t xml:space="preserve">Aguas Claras</w:t>
      </w:r>
      <w:r w:rsidDel="00000000" w:rsidR="00000000" w:rsidRPr="00000000">
        <w:rPr>
          <w:rFonts w:ascii="Tahoma" w:cs="Tahoma" w:eastAsia="Tahoma" w:hAnsi="Tahoma"/>
          <w:color w:val="000000"/>
          <w:sz w:val="22"/>
          <w:szCs w:val="22"/>
          <w:rtl w:val="0"/>
        </w:rPr>
        <w:t xml:space="preserve">, como se registra en la siguiente imagen.</w:t>
      </w:r>
    </w:p>
    <w:p w:rsidR="00000000" w:rsidDel="00000000" w:rsidP="00000000" w:rsidRDefault="00000000" w:rsidRPr="00000000" w14:paraId="0000003F">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1. Localización general del proyecto</w:t>
      </w:r>
      <w:r w:rsidDel="00000000" w:rsidR="00000000" w:rsidRPr="00000000">
        <w:rPr>
          <w:rtl w:val="0"/>
        </w:rPr>
      </w:r>
    </w:p>
    <w:tbl>
      <w:tblPr>
        <w:tblStyle w:val="Table2"/>
        <w:tblW w:w="6795.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6795"/>
        <w:tblGridChange w:id="0">
          <w:tblGrid>
            <w:gridCol w:w="6795"/>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40">
            <w:pPr>
              <w:jc w:val="center"/>
              <w:rPr/>
            </w:pPr>
            <w:r w:rsidDel="00000000" w:rsidR="00000000" w:rsidRPr="00000000">
              <w:rPr/>
              <w:drawing>
                <wp:inline distB="114300" distT="114300" distL="114300" distR="114300">
                  <wp:extent cx="4049078" cy="2867408"/>
                  <wp:effectExtent b="0" l="0" r="0" t="0"/>
                  <wp:docPr id="4"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4049078" cy="2867408"/>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jc w:val="center"/>
              <w:rPr/>
            </w:pPr>
            <w:r w:rsidDel="00000000" w:rsidR="00000000" w:rsidRPr="00000000">
              <w:rPr/>
              <w:drawing>
                <wp:inline distB="0" distT="0" distL="0" distR="0">
                  <wp:extent cx="4163378" cy="2656273"/>
                  <wp:effectExtent b="0" l="0" r="0" t="0"/>
                  <wp:docPr id="2"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4163378" cy="265627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2">
      <w:pPr>
        <w:spacing w:after="200" w:before="0" w:lineRule="auto"/>
        <w:jc w:val="center"/>
        <w:rPr>
          <w:rFonts w:ascii="Tahoma" w:cs="Tahoma" w:eastAsia="Tahoma" w:hAnsi="Tahoma"/>
          <w:i w:val="1"/>
          <w:iCs w:val="1"/>
          <w:color w:val="000000"/>
          <w:sz w:val="20"/>
          <w:szCs w:val="20"/>
        </w:rPr>
      </w:pPr>
      <w:r w:rsidDel="00000000" w:rsidR="00000000" w:rsidRPr="00000000">
        <w:rPr>
          <w:rFonts w:ascii="Tahoma" w:cs="Tahoma" w:eastAsia="Tahoma" w:hAnsi="Tahoma"/>
          <w:i w:val="1"/>
          <w:iCs w:val="1"/>
          <w:color w:val="000000"/>
          <w:sz w:val="20"/>
          <w:szCs w:val="20"/>
          <w:rtl w:val="0"/>
        </w:rPr>
        <w:t xml:space="preserve">Fuente. AVSA SA, 2026.</w:t>
      </w:r>
    </w:p>
    <w:p w:rsidR="00000000" w:rsidDel="00000000" w:rsidP="00000000" w:rsidRDefault="00000000" w:rsidRPr="00000000" w14:paraId="00000043">
      <w:pPr>
        <w:spacing w:after="200" w:before="0" w:lineRule="auto"/>
        <w:jc w:val="center"/>
        <w:rPr>
          <w:sz w:val="20"/>
          <w:szCs w:val="20"/>
        </w:rPr>
      </w:pPr>
      <w:r w:rsidDel="00000000" w:rsidR="00000000" w:rsidRPr="00000000">
        <w:rPr>
          <w:rtl w:val="0"/>
        </w:rPr>
      </w:r>
    </w:p>
    <w:p w:rsidR="00000000" w:rsidDel="00000000" w:rsidP="00000000" w:rsidRDefault="00000000" w:rsidRPr="00000000" w14:paraId="00000044">
      <w:pPr>
        <w:pStyle w:val="Heading2"/>
        <w:spacing w:after="80" w:before="160" w:lineRule="auto"/>
        <w:rPr>
          <w:rFonts w:ascii="Tahoma" w:cs="Tahoma" w:eastAsia="Tahoma" w:hAnsi="Tahoma"/>
          <w:b w:val="1"/>
          <w:bCs w:val="1"/>
          <w:color w:val="000000"/>
          <w:sz w:val="26"/>
          <w:szCs w:val="26"/>
        </w:rPr>
      </w:pPr>
      <w:r w:rsidDel="00000000" w:rsidR="00000000" w:rsidRPr="00000000">
        <w:rPr>
          <w:rFonts w:ascii="Tahoma" w:cs="Tahoma" w:eastAsia="Tahoma" w:hAnsi="Tahoma"/>
          <w:b w:val="1"/>
          <w:bCs w:val="1"/>
          <w:color w:val="000000"/>
          <w:sz w:val="26"/>
          <w:szCs w:val="26"/>
          <w:rtl w:val="0"/>
        </w:rPr>
        <w:t xml:space="preserve">1.2 DESCRIPCIÓN DEL PROYECTO</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spacing w:after="160" w:line="259" w:lineRule="auto"/>
        <w:jc w:val="both"/>
        <w:rPr/>
      </w:pPr>
      <w:r w:rsidDel="00000000" w:rsidR="00000000" w:rsidRPr="00000000">
        <w:rPr>
          <w:rFonts w:ascii="Tahoma" w:cs="Tahoma" w:eastAsia="Tahoma" w:hAnsi="Tahoma"/>
          <w:color w:val="000000"/>
          <w:sz w:val="22"/>
          <w:szCs w:val="22"/>
          <w:rtl w:val="0"/>
        </w:rPr>
        <w:t xml:space="preserve">La Granja Avícola Jamaica desarrolla producción avícola intensiva organizada en dos núcleos productivos. El Núcleo 1 dispone de seis galpones, cada uno con capacidad para 62.000 aves, encontrándose la totalidad de las unidades en operación continua. El Núcleo 2 cuenta actualmente con dos galpones operativos, cada uno con capacidad para 92.000 aves, y cinco galpones adicionales en etapa constructiva. La capacidad instalada en operación asciende a 556.000 aves en el Núcleo 1 y 184.000 aves en el Núcleo 2, para un total operativo actual de 740.000 aves, con una capacidad proyectada de 1.016.000 aves una vez concluida la construcción de los galpones en curso.</w:t>
      </w:r>
      <w:r w:rsidDel="00000000" w:rsidR="00000000" w:rsidRPr="00000000">
        <w:rPr>
          <w:rtl w:val="0"/>
        </w:rPr>
      </w:r>
    </w:p>
    <w:p w:rsidR="00000000" w:rsidDel="00000000" w:rsidP="00000000" w:rsidRDefault="00000000" w:rsidRPr="00000000" w14:paraId="00000047">
      <w:pPr>
        <w:spacing w:after="160" w:line="259" w:lineRule="auto"/>
        <w:jc w:val="both"/>
        <w:rPr/>
      </w:pPr>
      <w:r w:rsidDel="00000000" w:rsidR="00000000" w:rsidRPr="00000000">
        <w:rPr>
          <w:rFonts w:ascii="Tahoma" w:cs="Tahoma" w:eastAsia="Tahoma" w:hAnsi="Tahoma"/>
          <w:color w:val="000000"/>
          <w:sz w:val="22"/>
          <w:szCs w:val="22"/>
          <w:rtl w:val="0"/>
        </w:rPr>
        <w:t xml:space="preserve">El recurso hídrico captado desde el pozo profundo abastece cuatro usos definidos: el consumo pecuario de las aves alojadas, el consumo humano del personal operativo presente en la granja (40 personas), y dos sistemas de bioseguridad en los accesos: un túnel de desinfección y arcos de desinfección. La conducción desde el punto de captación se realiza mediante tubería PVC de cuatro pulgadas. El agua recibe tratamiento previo a su distribución interna, contando la granja con tres tanques de almacenamiento de agua tratada, cada uno con capacidad de 100</w:t>
      </w:r>
      <w:r w:rsidDel="00000000" w:rsidR="00000000" w:rsidRPr="00000000">
        <w:rPr>
          <w:rtl w:val="0"/>
        </w:rPr>
        <w:t xml:space="preserve"> </w:t>
      </w:r>
      <w:r w:rsidDel="00000000" w:rsidR="00000000" w:rsidRPr="00000000">
        <w:rPr>
          <w:rFonts w:ascii="Tahoma" w:cs="Tahoma" w:eastAsia="Tahoma" w:hAnsi="Tahoma"/>
          <w:color w:val="000000"/>
          <w:sz w:val="22"/>
          <w:szCs w:val="22"/>
          <w:rtl w:val="0"/>
        </w:rPr>
        <w:t xml:space="preserve">m³, para un volumen total almacenado de 300 m³. La medición del consumo se efectúa mediante medidor de caudal instalado en el punto de captación del pozo profundo. Como fuente alterna, el predio dispone de un reservorio de aguas lluvias, igualmente dotado de medidor de caudal.</w:t>
      </w:r>
      <w:r w:rsidDel="00000000" w:rsidR="00000000" w:rsidRPr="00000000">
        <w:rPr>
          <w:rtl w:val="0"/>
        </w:rPr>
      </w:r>
    </w:p>
    <w:p w:rsidR="00000000" w:rsidDel="00000000" w:rsidP="00000000" w:rsidRDefault="00000000" w:rsidRPr="00000000" w14:paraId="00000048">
      <w:pPr>
        <w:pStyle w:val="Heading3"/>
        <w:spacing w:after="80" w:before="160" w:lineRule="auto"/>
        <w:rPr>
          <w:rFonts w:ascii="Tahoma" w:cs="Tahoma" w:eastAsia="Tahoma" w:hAnsi="Tahoma"/>
          <w:b w:val="1"/>
          <w:bCs w:val="1"/>
          <w:i w:val="1"/>
          <w:iCs w:val="1"/>
          <w:color w:val="000000"/>
          <w:sz w:val="24"/>
          <w:szCs w:val="24"/>
        </w:rPr>
      </w:pPr>
      <w:r w:rsidDel="00000000" w:rsidR="00000000" w:rsidRPr="00000000">
        <w:rPr>
          <w:rFonts w:ascii="Tahoma" w:cs="Tahoma" w:eastAsia="Tahoma" w:hAnsi="Tahoma"/>
          <w:b w:val="1"/>
          <w:bCs w:val="1"/>
          <w:i w:val="1"/>
          <w:iCs w:val="1"/>
          <w:color w:val="000000"/>
          <w:sz w:val="24"/>
          <w:szCs w:val="24"/>
          <w:rtl w:val="0"/>
        </w:rPr>
        <w:t xml:space="preserve">1.2.1 Diagrama de flujo del proceso</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spacing w:after="160" w:line="259" w:lineRule="auto"/>
        <w:jc w:val="both"/>
        <w:rPr/>
      </w:pPr>
      <w:r w:rsidDel="00000000" w:rsidR="00000000" w:rsidRPr="00000000">
        <w:rPr>
          <w:rFonts w:ascii="Tahoma" w:cs="Tahoma" w:eastAsia="Tahoma" w:hAnsi="Tahoma"/>
          <w:color w:val="000000"/>
          <w:sz w:val="22"/>
          <w:szCs w:val="22"/>
          <w:rtl w:val="0"/>
        </w:rPr>
        <w:t xml:space="preserve">Son todas las actividades desarrolladas durante el proceso de producción.</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Recepción e ingreso de aves al galpón.</w:t>
      </w:r>
    </w:p>
    <w:p w:rsidR="00000000" w:rsidDel="00000000" w:rsidP="00000000" w:rsidRDefault="00000000" w:rsidRPr="00000000" w14:paraId="0000004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Suministro de agua y alimentación.</w:t>
      </w:r>
    </w:p>
    <w:p w:rsidR="00000000" w:rsidDel="00000000" w:rsidP="00000000" w:rsidRDefault="00000000" w:rsidRPr="00000000" w14:paraId="0000004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Control sanitario y desinfección (túnel y arcos de desinfección).</w:t>
      </w:r>
    </w:p>
    <w:p w:rsidR="00000000" w:rsidDel="00000000" w:rsidP="00000000" w:rsidRDefault="00000000" w:rsidRPr="00000000" w14:paraId="0000004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Monitoreo de condiciones ambientales internas del galpón.</w:t>
      </w:r>
    </w:p>
    <w:p w:rsidR="00000000" w:rsidDel="00000000" w:rsidP="00000000" w:rsidRDefault="00000000" w:rsidRPr="00000000" w14:paraId="0000004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Captación de agua subterránea desde el pozo profundo.</w:t>
      </w:r>
    </w:p>
    <w:p w:rsidR="00000000" w:rsidDel="00000000" w:rsidP="00000000" w:rsidRDefault="00000000" w:rsidRPr="00000000" w14:paraId="0000005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Tratamiento del agua captada en la PTAP.</w:t>
      </w:r>
    </w:p>
    <w:p w:rsidR="00000000" w:rsidDel="00000000" w:rsidP="00000000" w:rsidRDefault="00000000" w:rsidRPr="00000000" w14:paraId="0000005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Almacenamiento del agua tratada en tanques.</w:t>
      </w:r>
    </w:p>
    <w:p w:rsidR="00000000" w:rsidDel="00000000" w:rsidP="00000000" w:rsidRDefault="00000000" w:rsidRPr="00000000" w14:paraId="0000005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Distribución interna del agua mediante red de tubería PVC.</w:t>
      </w:r>
    </w:p>
    <w:p w:rsidR="00000000" w:rsidDel="00000000" w:rsidP="00000000" w:rsidRDefault="00000000" w:rsidRPr="00000000" w14:paraId="0000005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Recolección y disposición de residuos y subproductos.</w:t>
      </w:r>
    </w:p>
    <w:p w:rsidR="00000000" w:rsidDel="00000000" w:rsidP="00000000" w:rsidRDefault="00000000" w:rsidRPr="00000000" w14:paraId="0000005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Despacho y salida de aves.</w:t>
      </w:r>
    </w:p>
    <w:p w:rsidR="00000000" w:rsidDel="00000000" w:rsidP="00000000" w:rsidRDefault="00000000" w:rsidRPr="00000000" w14:paraId="00000055">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2. Flujograma del proceso productivo</w:t>
      </w:r>
      <w:r w:rsidDel="00000000" w:rsidR="00000000" w:rsidRPr="00000000">
        <w:rPr>
          <w:rtl w:val="0"/>
        </w:rPr>
      </w:r>
    </w:p>
    <w:tbl>
      <w:tblPr>
        <w:tblStyle w:val="Table3"/>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56">
            <w:pPr>
              <w:jc w:val="center"/>
              <w:rPr/>
            </w:pPr>
            <w:r w:rsidDel="00000000" w:rsidR="00000000" w:rsidRPr="00000000">
              <w:rPr/>
              <w:drawing>
                <wp:inline distB="0" distT="0" distL="0" distR="0">
                  <wp:extent cx="9525" cy="9525"/>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9525" cy="9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7">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Autor, 2026.</w:t>
      </w:r>
      <w:r w:rsidDel="00000000" w:rsidR="00000000" w:rsidRPr="00000000">
        <w:rPr>
          <w:rtl w:val="0"/>
        </w:rPr>
      </w:r>
    </w:p>
    <w:p w:rsidR="00000000" w:rsidDel="00000000" w:rsidP="00000000" w:rsidRDefault="00000000" w:rsidRPr="00000000" w14:paraId="00000058">
      <w:pPr>
        <w:pStyle w:val="Heading3"/>
        <w:spacing w:after="80" w:before="160" w:lineRule="auto"/>
        <w:rPr/>
      </w:pPr>
      <w:r w:rsidDel="00000000" w:rsidR="00000000" w:rsidRPr="00000000">
        <w:rPr>
          <w:rFonts w:ascii="Tahoma" w:cs="Tahoma" w:eastAsia="Tahoma" w:hAnsi="Tahoma"/>
          <w:b w:val="1"/>
          <w:bCs w:val="1"/>
          <w:i w:val="1"/>
          <w:iCs w:val="1"/>
          <w:color w:val="000000"/>
          <w:sz w:val="24"/>
          <w:szCs w:val="24"/>
          <w:rtl w:val="0"/>
        </w:rPr>
        <w:t xml:space="preserve">1.2.2 Alistamiento</w:t>
      </w:r>
      <w:r w:rsidDel="00000000" w:rsidR="00000000" w:rsidRPr="00000000">
        <w:rPr>
          <w:rtl w:val="0"/>
        </w:rPr>
      </w:r>
    </w:p>
    <w:p w:rsidR="00000000" w:rsidDel="00000000" w:rsidP="00000000" w:rsidRDefault="00000000" w:rsidRPr="00000000" w14:paraId="00000059">
      <w:pPr>
        <w:spacing w:after="160" w:line="259" w:lineRule="auto"/>
        <w:jc w:val="both"/>
        <w:rPr/>
      </w:pPr>
      <w:r w:rsidDel="00000000" w:rsidR="00000000" w:rsidRPr="00000000">
        <w:rPr>
          <w:rFonts w:ascii="Tahoma" w:cs="Tahoma" w:eastAsia="Tahoma" w:hAnsi="Tahoma"/>
          <w:color w:val="000000"/>
          <w:sz w:val="22"/>
          <w:szCs w:val="22"/>
          <w:rtl w:val="0"/>
        </w:rPr>
        <w:t xml:space="preserve">El alistamiento corresponde al conjunto de actividades preparatorias que se ejecutan en cada galpón al término de un ciclo productivo y antes de la recepción de un nuevo lote. Este proceso implica el retiro de la cama usada, la limpieza de superficies internas y la aplicación de protocolos de desinfección, con el fin de garantizar condiciones sanitarias óptimas para el siguiente ciclo. Durante esta fase se concentra un uso puntual del recurso hídrico destinado a las labores de lavado, operación de los arcos y túneles de desinfección, y preparación general de la infraestructura productiva. A continuación se presenta el flujograma que esquematiza la secuencia de actividades del proceso.</w:t>
      </w:r>
      <w:r w:rsidDel="00000000" w:rsidR="00000000" w:rsidRPr="00000000">
        <w:rPr>
          <w:rtl w:val="0"/>
        </w:rPr>
      </w:r>
    </w:p>
    <w:p w:rsidR="00000000" w:rsidDel="00000000" w:rsidP="00000000" w:rsidRDefault="00000000" w:rsidRPr="00000000" w14:paraId="0000005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Retiro y disposición de la cama y residuos sólidos del ciclo anterior.</w:t>
      </w:r>
    </w:p>
    <w:p w:rsidR="00000000" w:rsidDel="00000000" w:rsidP="00000000" w:rsidRDefault="00000000" w:rsidRPr="00000000" w14:paraId="0000005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Barrido en seco de pisos, paredes y techos del galpón.</w:t>
      </w:r>
    </w:p>
    <w:p w:rsidR="00000000" w:rsidDel="00000000" w:rsidP="00000000" w:rsidRDefault="00000000" w:rsidRPr="00000000" w14:paraId="0000005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Lavado a presión de superficies internas con agua proveniente del sistema de almacenamiento.</w:t>
      </w:r>
    </w:p>
    <w:p w:rsidR="00000000" w:rsidDel="00000000" w:rsidP="00000000" w:rsidRDefault="00000000" w:rsidRPr="00000000" w14:paraId="0000005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Aplicación del protocolo de desinfección en superficies internas del galpón.</w:t>
      </w:r>
    </w:p>
    <w:p w:rsidR="00000000" w:rsidDel="00000000" w:rsidP="00000000" w:rsidRDefault="00000000" w:rsidRPr="00000000" w14:paraId="0000005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Operación de arcos de desinfección para ingreso de personal y vehículos al área productiva.</w:t>
      </w:r>
    </w:p>
    <w:p w:rsidR="00000000" w:rsidDel="00000000" w:rsidP="00000000" w:rsidRDefault="00000000" w:rsidRPr="00000000" w14:paraId="0000005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Operación del túnel de desinfección para equipos y materiales que ingresan al núcleo.</w:t>
      </w:r>
    </w:p>
    <w:p w:rsidR="00000000" w:rsidDel="00000000" w:rsidP="00000000" w:rsidRDefault="00000000" w:rsidRPr="00000000" w14:paraId="0000006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Inspección y mantenimiento preventivo de bebederos, comederos y sistemas internos.</w:t>
      </w:r>
    </w:p>
    <w:p w:rsidR="00000000" w:rsidDel="00000000" w:rsidP="00000000" w:rsidRDefault="00000000" w:rsidRPr="00000000" w14:paraId="0000006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Tendido y preparación de la nueva cama.</w:t>
      </w:r>
    </w:p>
    <w:p w:rsidR="00000000" w:rsidDel="00000000" w:rsidP="00000000" w:rsidRDefault="00000000" w:rsidRPr="00000000" w14:paraId="0000006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Verificación del funcionamiento del sistema de conducción en tubería PVC de 4 pulgadas.</w:t>
      </w:r>
    </w:p>
    <w:p w:rsidR="00000000" w:rsidDel="00000000" w:rsidP="00000000" w:rsidRDefault="00000000" w:rsidRPr="00000000" w14:paraId="0000006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Revisión de los niveles en los tanques de almacenamiento de agua tratada.</w:t>
      </w:r>
    </w:p>
    <w:p w:rsidR="00000000" w:rsidDel="00000000" w:rsidP="00000000" w:rsidRDefault="00000000" w:rsidRPr="00000000" w14:paraId="000000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Registro del consumo medido en el medidor de caudales del punto de captación.</w:t>
      </w:r>
    </w:p>
    <w:p w:rsidR="00000000" w:rsidDel="00000000" w:rsidP="00000000" w:rsidRDefault="00000000" w:rsidRPr="00000000" w14:paraId="0000006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80" w:before="0" w:line="259" w:lineRule="auto"/>
        <w:ind w:left="720" w:right="0" w:hanging="360"/>
        <w:jc w:val="left"/>
        <w:rPr/>
      </w:pPr>
      <w:r w:rsidDel="00000000" w:rsidR="00000000" w:rsidRPr="00000000">
        <w:rPr>
          <w:rFonts w:ascii="Tahoma" w:cs="Tahoma" w:eastAsia="Tahoma" w:hAnsi="Tahoma"/>
          <w:b w:val="0"/>
          <w:bCs w:val="0"/>
          <w:i w:val="0"/>
          <w:iCs w:val="0"/>
          <w:smallCaps w:val="0"/>
          <w:strike w:val="0"/>
          <w:color w:val="000000"/>
          <w:sz w:val="22"/>
          <w:szCs w:val="22"/>
          <w:u w:val="none"/>
          <w:shd w:fill="auto" w:val="clear"/>
          <w:vertAlign w:val="baseline"/>
          <w:rtl w:val="0"/>
        </w:rPr>
        <w:t xml:space="preserve">Liberación del galpón para recepción del nuevo lote, previa verificación sanitaria.</w:t>
      </w:r>
    </w:p>
    <w:p w:rsidR="00000000" w:rsidDel="00000000" w:rsidP="00000000" w:rsidRDefault="00000000" w:rsidRPr="00000000" w14:paraId="00000066">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3. Flujograma del proceso de alistamiento</w:t>
      </w:r>
      <w:r w:rsidDel="00000000" w:rsidR="00000000" w:rsidRPr="00000000">
        <w:rPr>
          <w:rtl w:val="0"/>
        </w:rPr>
      </w:r>
    </w:p>
    <w:tbl>
      <w:tblPr>
        <w:tblStyle w:val="Table4"/>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67">
            <w:pPr>
              <w:jc w:val="center"/>
              <w:rPr/>
            </w:pPr>
            <w:r w:rsidDel="00000000" w:rsidR="00000000" w:rsidRPr="00000000">
              <w:rPr/>
              <w:drawing>
                <wp:inline distB="0" distT="0" distL="0" distR="0">
                  <wp:extent cx="9525" cy="9525"/>
                  <wp:effectExtent b="0" l="0" r="0" t="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9525" cy="95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8">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Autor, 2026.</w:t>
      </w:r>
      <w:r w:rsidDel="00000000" w:rsidR="00000000" w:rsidRPr="00000000">
        <w:rPr>
          <w:rtl w:val="0"/>
        </w:rPr>
      </w:r>
    </w:p>
    <w:p w:rsidR="00000000" w:rsidDel="00000000" w:rsidP="00000000" w:rsidRDefault="00000000" w:rsidRPr="00000000" w14:paraId="00000069">
      <w:pPr>
        <w:pStyle w:val="Heading3"/>
        <w:spacing w:after="80" w:before="160" w:lineRule="auto"/>
        <w:rPr/>
      </w:pPr>
      <w:r w:rsidDel="00000000" w:rsidR="00000000" w:rsidRPr="00000000">
        <w:rPr>
          <w:rFonts w:ascii="Tahoma" w:cs="Tahoma" w:eastAsia="Tahoma" w:hAnsi="Tahoma"/>
          <w:b w:val="1"/>
          <w:bCs w:val="1"/>
          <w:i w:val="1"/>
          <w:iCs w:val="1"/>
          <w:color w:val="000000"/>
          <w:sz w:val="24"/>
          <w:szCs w:val="24"/>
          <w:rtl w:val="0"/>
        </w:rPr>
        <w:t xml:space="preserve">1.2.3 Unidades productivas</w:t>
      </w:r>
      <w:r w:rsidDel="00000000" w:rsidR="00000000" w:rsidRPr="00000000">
        <w:rPr>
          <w:rtl w:val="0"/>
        </w:rPr>
      </w:r>
    </w:p>
    <w:p w:rsidR="00000000" w:rsidDel="00000000" w:rsidP="00000000" w:rsidRDefault="00000000" w:rsidRPr="00000000" w14:paraId="0000006A">
      <w:pPr>
        <w:spacing w:after="160" w:line="259" w:lineRule="auto"/>
        <w:jc w:val="both"/>
        <w:rPr/>
      </w:pPr>
      <w:r w:rsidDel="00000000" w:rsidR="00000000" w:rsidRPr="00000000">
        <w:rPr>
          <w:rFonts w:ascii="Tahoma" w:cs="Tahoma" w:eastAsia="Tahoma" w:hAnsi="Tahoma"/>
          <w:color w:val="000000"/>
          <w:sz w:val="22"/>
          <w:szCs w:val="22"/>
          <w:rtl w:val="0"/>
        </w:rPr>
        <w:t xml:space="preserve">La granja se organiza en dos núcleos productivos diferenciados por su estado de consolidación. El Núcleo 1 está integrado por seis galpones operativos con capacidad individual de 62.000 aves, para un total de 372.000 aves en producción continua. El Núcleo 2 dispone de dos galpones operativos con capacidad de 92.000 aves cada uno (184.000 aves en operación) y cinco galpones en etapa constructiva, que al entrar en funcionamiento aportarán capacidad adicional a la operación total del proyecto. La suma de unidades en operación y en construcción consolida la capacidad instalada proyectada de 1.016.000 aves.</w:t>
      </w:r>
      <w:r w:rsidDel="00000000" w:rsidR="00000000" w:rsidRPr="00000000">
        <w:rPr>
          <w:rtl w:val="0"/>
        </w:rPr>
      </w:r>
    </w:p>
    <w:p w:rsidR="00000000" w:rsidDel="00000000" w:rsidP="00000000" w:rsidRDefault="00000000" w:rsidRPr="00000000" w14:paraId="0000006B">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4. Unidades productivas</w:t>
      </w:r>
      <w:r w:rsidDel="00000000" w:rsidR="00000000" w:rsidRPr="00000000">
        <w:rPr>
          <w:rtl w:val="0"/>
        </w:rPr>
      </w:r>
    </w:p>
    <w:tbl>
      <w:tblPr>
        <w:tblStyle w:val="Table5"/>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6C">
            <w:pPr>
              <w:jc w:val="center"/>
              <w:rPr/>
            </w:pPr>
            <w:r w:rsidDel="00000000" w:rsidR="00000000" w:rsidRPr="00000000">
              <w:rPr/>
              <w:drawing>
                <wp:inline distB="0" distT="0" distL="0" distR="0">
                  <wp:extent cx="4762500" cy="3048000"/>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4762500" cy="304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6D">
      <w:pPr>
        <w:pStyle w:val="Heading2"/>
        <w:spacing w:after="80" w:before="160" w:lineRule="auto"/>
        <w:rPr/>
      </w:pPr>
      <w:r w:rsidDel="00000000" w:rsidR="00000000" w:rsidRPr="00000000">
        <w:rPr>
          <w:rFonts w:ascii="Tahoma" w:cs="Tahoma" w:eastAsia="Tahoma" w:hAnsi="Tahoma"/>
          <w:b w:val="1"/>
          <w:bCs w:val="1"/>
          <w:color w:val="000000"/>
          <w:sz w:val="26"/>
          <w:szCs w:val="26"/>
          <w:rtl w:val="0"/>
        </w:rPr>
        <w:t xml:space="preserve">1.3 USOS DEL RECURSO HÍDRICO</w:t>
      </w:r>
      <w:r w:rsidDel="00000000" w:rsidR="00000000" w:rsidRPr="00000000">
        <w:rPr>
          <w:rtl w:val="0"/>
        </w:rPr>
      </w:r>
    </w:p>
    <w:p w:rsidR="00000000" w:rsidDel="00000000" w:rsidP="00000000" w:rsidRDefault="00000000" w:rsidRPr="00000000" w14:paraId="0000006E">
      <w:pPr>
        <w:spacing w:after="160" w:line="259" w:lineRule="auto"/>
        <w:jc w:val="both"/>
        <w:rPr/>
      </w:pPr>
      <w:r w:rsidDel="00000000" w:rsidR="00000000" w:rsidRPr="00000000">
        <w:rPr>
          <w:rFonts w:ascii="Tahoma" w:cs="Tahoma" w:eastAsia="Tahoma" w:hAnsi="Tahoma"/>
          <w:color w:val="000000"/>
          <w:sz w:val="22"/>
          <w:szCs w:val="22"/>
          <w:rtl w:val="0"/>
        </w:rPr>
        <w:t xml:space="preserve">El caudal requerido para el desarrollo del proyecto es </w:t>
      </w:r>
      <w:r w:rsidDel="00000000" w:rsidR="00000000" w:rsidRPr="00000000">
        <w:rPr>
          <w:rFonts w:ascii="Tahoma" w:cs="Tahoma" w:eastAsia="Tahoma" w:hAnsi="Tahoma"/>
          <w:b w:val="1"/>
          <w:bCs w:val="1"/>
          <w:color w:val="000000"/>
          <w:sz w:val="22"/>
          <w:szCs w:val="22"/>
          <w:rtl w:val="0"/>
        </w:rPr>
        <w:t xml:space="preserve">4,844 L/s</w:t>
      </w:r>
      <w:r w:rsidDel="00000000" w:rsidR="00000000" w:rsidRPr="00000000">
        <w:rPr>
          <w:rFonts w:ascii="Tahoma" w:cs="Tahoma" w:eastAsia="Tahoma" w:hAnsi="Tahoma"/>
          <w:color w:val="000000"/>
          <w:sz w:val="22"/>
          <w:szCs w:val="22"/>
          <w:rtl w:val="0"/>
        </w:rPr>
        <w:t xml:space="preserve">. A continuación se especifican los usos previstos:</w:t>
      </w:r>
      <w:r w:rsidDel="00000000" w:rsidR="00000000" w:rsidRPr="00000000">
        <w:rPr>
          <w:rtl w:val="0"/>
        </w:rPr>
      </w:r>
    </w:p>
    <w:p w:rsidR="00000000" w:rsidDel="00000000" w:rsidP="00000000" w:rsidRDefault="00000000" w:rsidRPr="00000000" w14:paraId="0000006F">
      <w:pPr>
        <w:spacing w:after="160" w:line="259" w:lineRule="auto"/>
        <w:jc w:val="both"/>
        <w:rPr/>
      </w:pPr>
      <w:r w:rsidDel="00000000" w:rsidR="00000000" w:rsidRPr="00000000">
        <w:rPr>
          <w:rFonts w:ascii="Tahoma" w:cs="Tahoma" w:eastAsia="Tahoma" w:hAnsi="Tahoma"/>
          <w:color w:val="000000"/>
          <w:sz w:val="22"/>
          <w:szCs w:val="22"/>
          <w:rtl w:val="0"/>
        </w:rPr>
        <w:t xml:space="preserve">Uso Pecuario: el agua captada del pozo profundo se destina al suministro de las aves alojadas en los dos núcleos productivos de la granja. El módulo de consumo establecido por la CAS para avicultura es de 0,000004 L/s por ave, aplicado sobre una población total de 1.016.000 aves, lo que determina un caudal de 4,064 L/s para este uso.</w:t>
      </w:r>
      <w:r w:rsidDel="00000000" w:rsidR="00000000" w:rsidRPr="00000000">
        <w:rPr>
          <w:rtl w:val="0"/>
        </w:rPr>
      </w:r>
    </w:p>
    <w:p w:rsidR="00000000" w:rsidDel="00000000" w:rsidP="00000000" w:rsidRDefault="00000000" w:rsidRPr="00000000" w14:paraId="00000070">
      <w:pPr>
        <w:spacing w:after="160" w:line="259" w:lineRule="auto"/>
        <w:jc w:val="both"/>
        <w:rPr/>
      </w:pPr>
      <w:r w:rsidDel="00000000" w:rsidR="00000000" w:rsidRPr="00000000">
        <w:rPr>
          <w:rFonts w:ascii="Tahoma" w:cs="Tahoma" w:eastAsia="Tahoma" w:hAnsi="Tahoma"/>
          <w:color w:val="000000"/>
          <w:sz w:val="22"/>
          <w:szCs w:val="22"/>
          <w:rtl w:val="0"/>
        </w:rPr>
        <w:t xml:space="preserve">Uso Doméstico: el recurso hídrico abastece las necesidades de consumo humano del personal vinculado a las operaciones de la granja. Con base en el módulo CAS de 0,002 L/s por persona y una dotación de 40 personas, el caudal asignado a este uso es de 0,08 L/s.</w:t>
      </w:r>
      <w:r w:rsidDel="00000000" w:rsidR="00000000" w:rsidRPr="00000000">
        <w:rPr>
          <w:rtl w:val="0"/>
        </w:rPr>
      </w:r>
    </w:p>
    <w:p w:rsidR="00000000" w:rsidDel="00000000" w:rsidP="00000000" w:rsidRDefault="00000000" w:rsidRPr="00000000" w14:paraId="00000071">
      <w:pPr>
        <w:spacing w:after="160" w:line="259" w:lineRule="auto"/>
        <w:jc w:val="both"/>
        <w:rPr/>
      </w:pPr>
      <w:r w:rsidDel="00000000" w:rsidR="00000000" w:rsidRPr="00000000">
        <w:rPr>
          <w:rFonts w:ascii="Tahoma" w:cs="Tahoma" w:eastAsia="Tahoma" w:hAnsi="Tahoma"/>
          <w:color w:val="000000"/>
          <w:sz w:val="22"/>
          <w:szCs w:val="22"/>
          <w:rtl w:val="0"/>
        </w:rPr>
        <w:t xml:space="preserve">Otros usos: la granja requiere agua para la operación de dos sistemas de desinfección perimetral. El túnel de desinfección vehicular demanda un caudal de 0,5 L/s, y los arcos de desinfección peatonal requieren 0,2 L/s. Ambos sistemas constituyen medidas de bioseguridad para el control sanitario en los accesos a las unidades productivas.</w:t>
      </w:r>
      <w:r w:rsidDel="00000000" w:rsidR="00000000" w:rsidRPr="00000000">
        <w:rPr>
          <w:rtl w:val="0"/>
        </w:rPr>
      </w:r>
    </w:p>
    <w:p w:rsidR="00000000" w:rsidDel="00000000" w:rsidP="00000000" w:rsidRDefault="00000000" w:rsidRPr="00000000" w14:paraId="00000072">
      <w:pPr>
        <w:spacing w:after="160" w:line="259" w:lineRule="auto"/>
        <w:jc w:val="both"/>
        <w:rPr/>
      </w:pPr>
      <w:r w:rsidDel="00000000" w:rsidR="00000000" w:rsidRPr="00000000">
        <w:rPr>
          <w:rFonts w:ascii="Tahoma" w:cs="Tahoma" w:eastAsia="Tahoma" w:hAnsi="Tahoma"/>
          <w:color w:val="000000"/>
          <w:sz w:val="22"/>
          <w:szCs w:val="22"/>
          <w:rtl w:val="0"/>
        </w:rPr>
        <w:t xml:space="preserve">La sumatoria de los caudales asignados a los usos pecuario, doméstico y de desinfección arroja un caudal total solicitado de 4,844 L/s, el cual constituye el valor objeto de la presente concesión de aguas subterráneas.</w:t>
      </w:r>
      <w:r w:rsidDel="00000000" w:rsidR="00000000" w:rsidRPr="00000000">
        <w:rPr>
          <w:rtl w:val="0"/>
        </w:rPr>
      </w:r>
    </w:p>
    <w:p w:rsidR="00000000" w:rsidDel="00000000" w:rsidP="00000000" w:rsidRDefault="00000000" w:rsidRPr="00000000" w14:paraId="00000073">
      <w:pPr>
        <w:pStyle w:val="Heading2"/>
        <w:spacing w:after="80" w:before="160" w:lineRule="auto"/>
        <w:rPr/>
      </w:pPr>
      <w:r w:rsidDel="00000000" w:rsidR="00000000" w:rsidRPr="00000000">
        <w:rPr>
          <w:rFonts w:ascii="Tahoma" w:cs="Tahoma" w:eastAsia="Tahoma" w:hAnsi="Tahoma"/>
          <w:b w:val="1"/>
          <w:bCs w:val="1"/>
          <w:color w:val="000000"/>
          <w:sz w:val="26"/>
          <w:szCs w:val="26"/>
          <w:rtl w:val="0"/>
        </w:rPr>
        <w:t xml:space="preserve">1.4 FUENTE DE ABASTECIMIENTO DEL RECURSO HÍDRICO</w:t>
      </w:r>
      <w:r w:rsidDel="00000000" w:rsidR="00000000" w:rsidRPr="00000000">
        <w:rPr>
          <w:rtl w:val="0"/>
        </w:rPr>
      </w:r>
    </w:p>
    <w:p w:rsidR="00000000" w:rsidDel="00000000" w:rsidP="00000000" w:rsidRDefault="00000000" w:rsidRPr="00000000" w14:paraId="00000074">
      <w:pPr>
        <w:spacing w:after="160" w:line="259" w:lineRule="auto"/>
        <w:jc w:val="both"/>
        <w:rPr/>
      </w:pPr>
      <w:r w:rsidDel="00000000" w:rsidR="00000000" w:rsidRPr="00000000">
        <w:rPr>
          <w:rFonts w:ascii="Tahoma" w:cs="Tahoma" w:eastAsia="Tahoma" w:hAnsi="Tahoma"/>
          <w:color w:val="000000"/>
          <w:sz w:val="22"/>
          <w:szCs w:val="22"/>
          <w:rtl w:val="0"/>
        </w:rPr>
        <w:t xml:space="preserve">La fuente de abastecimiento principal del proyecto corresponde a un pozo profundo de aguas subterráneas, ubicado en la vereda Aguas Claras del municipio de Sabana de Torres, Santander. La captación subterránea responde a la disponibilidad hidrogeológica del área y a la demanda hídrica continua que exige la operación avícola intensiva. Como fuente alterna, el predio dispone de un reservorio de aguas lluvias, georreferenciado en latitud 7,274473, longitud -73,558548, el cual opera como sistema de respaldo y complemento en la gestión del recurso.</w:t>
      </w:r>
      <w:r w:rsidDel="00000000" w:rsidR="00000000" w:rsidRPr="00000000">
        <w:rPr>
          <w:rtl w:val="0"/>
        </w:rPr>
      </w:r>
    </w:p>
    <w:p w:rsidR="00000000" w:rsidDel="00000000" w:rsidP="00000000" w:rsidRDefault="00000000" w:rsidRPr="00000000" w14:paraId="00000075">
      <w:pPr>
        <w:spacing w:after="160" w:line="259" w:lineRule="auto"/>
        <w:jc w:val="both"/>
        <w:rPr/>
      </w:pPr>
      <w:r w:rsidDel="00000000" w:rsidR="00000000" w:rsidRPr="00000000">
        <w:rPr>
          <w:rFonts w:ascii="Tahoma" w:cs="Tahoma" w:eastAsia="Tahoma" w:hAnsi="Tahoma"/>
          <w:color w:val="000000"/>
          <w:sz w:val="22"/>
          <w:szCs w:val="22"/>
          <w:rtl w:val="0"/>
        </w:rPr>
        <w:t xml:space="preserve">El punto de captación se encuentra georreferenciado en las siguientes coordenadas:</w:t>
      </w:r>
      <w:r w:rsidDel="00000000" w:rsidR="00000000" w:rsidRPr="00000000">
        <w:rPr>
          <w:rtl w:val="0"/>
        </w:rPr>
      </w:r>
    </w:p>
    <w:p w:rsidR="00000000" w:rsidDel="00000000" w:rsidP="00000000" w:rsidRDefault="00000000" w:rsidRPr="00000000" w14:paraId="00000076">
      <w:pPr>
        <w:spacing w:after="160" w:line="259" w:lineRule="auto"/>
        <w:jc w:val="both"/>
        <w:rPr/>
      </w:pPr>
      <w:r w:rsidDel="00000000" w:rsidR="00000000" w:rsidRPr="00000000">
        <w:rPr>
          <w:rFonts w:ascii="Tahoma" w:cs="Tahoma" w:eastAsia="Tahoma" w:hAnsi="Tahoma"/>
          <w:color w:val="000000"/>
          <w:sz w:val="22"/>
          <w:szCs w:val="22"/>
          <w:rtl w:val="0"/>
        </w:rPr>
        <w:t xml:space="preserve">El punto de captación se encuentra georreferenciado en las siguientes coordenadas:</w:t>
      </w:r>
      <w:r w:rsidDel="00000000" w:rsidR="00000000" w:rsidRPr="00000000">
        <w:rPr>
          <w:rtl w:val="0"/>
        </w:rPr>
      </w:r>
    </w:p>
    <w:p w:rsidR="00000000" w:rsidDel="00000000" w:rsidP="00000000" w:rsidRDefault="00000000" w:rsidRPr="00000000" w14:paraId="00000077">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2. Coordenadas del punto de abastecimiento</w:t>
      </w:r>
      <w:r w:rsidDel="00000000" w:rsidR="00000000" w:rsidRPr="00000000">
        <w:rPr>
          <w:rtl w:val="0"/>
        </w:rPr>
      </w:r>
    </w:p>
    <w:tbl>
      <w:tblPr>
        <w:tblStyle w:val="Table6"/>
        <w:tblW w:w="7725.0" w:type="dxa"/>
        <w:jc w:val="left"/>
        <w:tblInd w:w="9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65"/>
        <w:gridCol w:w="2010"/>
        <w:gridCol w:w="1950"/>
        <w:tblGridChange w:id="0">
          <w:tblGrid>
            <w:gridCol w:w="3765"/>
            <w:gridCol w:w="2010"/>
            <w:gridCol w:w="195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78">
            <w:pPr>
              <w:jc w:val="center"/>
              <w:rPr/>
            </w:pPr>
            <w:r w:rsidDel="00000000" w:rsidR="00000000" w:rsidRPr="00000000">
              <w:rPr>
                <w:rFonts w:ascii="Tahoma" w:cs="Tahoma" w:eastAsia="Tahoma" w:hAnsi="Tahoma"/>
                <w:b w:val="1"/>
                <w:bCs w:val="1"/>
                <w:color w:val="000000"/>
                <w:sz w:val="22"/>
                <w:szCs w:val="22"/>
                <w:rtl w:val="0"/>
              </w:rPr>
              <w:t xml:space="preserve">Fuente de abastecimiento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79">
            <w:pPr>
              <w:jc w:val="center"/>
              <w:rPr/>
            </w:pPr>
            <w:r w:rsidDel="00000000" w:rsidR="00000000" w:rsidRPr="00000000">
              <w:rPr>
                <w:rFonts w:ascii="Tahoma" w:cs="Tahoma" w:eastAsia="Tahoma" w:hAnsi="Tahoma"/>
                <w:b w:val="1"/>
                <w:bCs w:val="1"/>
                <w:color w:val="000000"/>
                <w:sz w:val="22"/>
                <w:szCs w:val="22"/>
                <w:rtl w:val="0"/>
              </w:rPr>
              <w:t xml:space="preserve">Latitud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7A">
            <w:pPr>
              <w:jc w:val="center"/>
              <w:rPr/>
            </w:pPr>
            <w:r w:rsidDel="00000000" w:rsidR="00000000" w:rsidRPr="00000000">
              <w:rPr>
                <w:rFonts w:ascii="Tahoma" w:cs="Tahoma" w:eastAsia="Tahoma" w:hAnsi="Tahoma"/>
                <w:b w:val="1"/>
                <w:bCs w:val="1"/>
                <w:color w:val="000000"/>
                <w:sz w:val="22"/>
                <w:szCs w:val="22"/>
                <w:rtl w:val="0"/>
              </w:rPr>
              <w:t xml:space="preserve">Longitud</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7B">
            <w:pPr>
              <w:jc w:val="left"/>
              <w:rPr/>
            </w:pPr>
            <w:r w:rsidDel="00000000" w:rsidR="00000000" w:rsidRPr="00000000">
              <w:rPr>
                <w:rFonts w:ascii="Tahoma" w:cs="Tahoma" w:eastAsia="Tahoma" w:hAnsi="Tahoma"/>
                <w:color w:val="000000"/>
                <w:sz w:val="22"/>
                <w:szCs w:val="22"/>
                <w:rtl w:val="0"/>
              </w:rPr>
              <w:t xml:space="preserve">Reservorio de aguas lluvias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7C">
            <w:pPr>
              <w:jc w:val="center"/>
              <w:rPr/>
            </w:pPr>
            <w:r w:rsidDel="00000000" w:rsidR="00000000" w:rsidRPr="00000000">
              <w:rPr>
                <w:rFonts w:ascii="Tahoma" w:cs="Tahoma" w:eastAsia="Tahoma" w:hAnsi="Tahoma"/>
                <w:color w:val="000000"/>
                <w:sz w:val="22"/>
                <w:szCs w:val="22"/>
                <w:rtl w:val="0"/>
              </w:rPr>
              <w:t xml:space="preserve">7,274473</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7D">
            <w:pPr>
              <w:jc w:val="center"/>
              <w:rPr/>
            </w:pPr>
            <w:r w:rsidDel="00000000" w:rsidR="00000000" w:rsidRPr="00000000">
              <w:rPr>
                <w:rFonts w:ascii="Tahoma" w:cs="Tahoma" w:eastAsia="Tahoma" w:hAnsi="Tahoma"/>
                <w:color w:val="000000"/>
                <w:sz w:val="22"/>
                <w:szCs w:val="22"/>
                <w:rtl w:val="0"/>
              </w:rPr>
              <w:t xml:space="preserve">-73,558548</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7E">
            <w:pPr>
              <w:jc w:val="left"/>
              <w:rPr/>
            </w:pPr>
            <w:r w:rsidDel="00000000" w:rsidR="00000000" w:rsidRPr="00000000">
              <w:rPr>
                <w:rFonts w:ascii="Tahoma" w:cs="Tahoma" w:eastAsia="Tahoma" w:hAnsi="Tahoma"/>
                <w:color w:val="000000"/>
                <w:sz w:val="22"/>
                <w:szCs w:val="22"/>
                <w:rtl w:val="0"/>
              </w:rPr>
              <w:t xml:space="preserve">Sistema de captación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7F">
            <w:pPr>
              <w:jc w:val="center"/>
              <w:rPr/>
            </w:pPr>
            <w:r w:rsidDel="00000000" w:rsidR="00000000" w:rsidRPr="00000000">
              <w:rPr>
                <w:rFonts w:ascii="Tahoma" w:cs="Tahoma" w:eastAsia="Tahoma" w:hAnsi="Tahoma"/>
                <w:color w:val="000000"/>
                <w:sz w:val="22"/>
                <w:szCs w:val="22"/>
                <w:rtl w:val="0"/>
              </w:rPr>
              <w:t xml:space="preserve">7,275152</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80">
            <w:pPr>
              <w:jc w:val="center"/>
              <w:rPr/>
            </w:pPr>
            <w:r w:rsidDel="00000000" w:rsidR="00000000" w:rsidRPr="00000000">
              <w:rPr>
                <w:rFonts w:ascii="Tahoma" w:cs="Tahoma" w:eastAsia="Tahoma" w:hAnsi="Tahoma"/>
                <w:color w:val="000000"/>
                <w:sz w:val="22"/>
                <w:szCs w:val="22"/>
                <w:rtl w:val="0"/>
              </w:rPr>
              <w:t xml:space="preserve">-73,558266</w:t>
            </w:r>
            <w:r w:rsidDel="00000000" w:rsidR="00000000" w:rsidRPr="00000000">
              <w:rPr>
                <w:rtl w:val="0"/>
              </w:rPr>
            </w:r>
          </w:p>
        </w:tc>
      </w:tr>
    </w:tbl>
    <w:p w:rsidR="00000000" w:rsidDel="00000000" w:rsidP="00000000" w:rsidRDefault="00000000" w:rsidRPr="00000000" w14:paraId="00000081">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p w:rsidR="00000000" w:rsidDel="00000000" w:rsidP="00000000" w:rsidRDefault="00000000" w:rsidRPr="00000000" w14:paraId="00000082">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Imagen 5. Fuentes hídricas abastecedoras del proyecto</w:t>
      </w:r>
      <w:r w:rsidDel="00000000" w:rsidR="00000000" w:rsidRPr="00000000">
        <w:rPr>
          <w:rtl w:val="0"/>
        </w:rPr>
      </w:r>
    </w:p>
    <w:tbl>
      <w:tblPr>
        <w:tblStyle w:val="Table7"/>
        <w:tblW w:w="8400.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8400"/>
        <w:tblGridChange w:id="0">
          <w:tblGrid>
            <w:gridCol w:w="8400"/>
          </w:tblGrid>
        </w:tblGridChange>
      </w:tblGrid>
      <w:tr>
        <w:trPr>
          <w:cantSplit w:val="0"/>
          <w:trHeight w:val="2200" w:hRule="atLeast"/>
          <w:tblHeader w:val="0"/>
        </w:trPr>
        <w:tc>
          <w:tcPr>
            <w:tcMar>
              <w:top w:w="80.0" w:type="dxa"/>
              <w:left w:w="120.0" w:type="dxa"/>
              <w:bottom w:w="80.0" w:type="dxa"/>
              <w:right w:w="120.0" w:type="dxa"/>
            </w:tcMar>
            <w:vAlign w:val="center"/>
          </w:tcPr>
          <w:p w:rsidR="00000000" w:rsidDel="00000000" w:rsidP="00000000" w:rsidRDefault="00000000" w:rsidRPr="00000000" w14:paraId="00000083">
            <w:pPr>
              <w:jc w:val="center"/>
              <w:rPr/>
            </w:pPr>
            <w:r w:rsidDel="00000000" w:rsidR="00000000" w:rsidRPr="00000000">
              <w:rPr/>
              <w:drawing>
                <wp:inline distB="0" distT="0" distL="0" distR="0">
                  <wp:extent cx="4762500" cy="3048000"/>
                  <wp:effectExtent b="0" l="0" r="0" t="0"/>
                  <wp:docPr id="6"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4762500" cy="304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4">
      <w:pPr>
        <w:spacing w:after="200" w:before="0" w:lineRule="auto"/>
        <w:jc w:val="center"/>
        <w:rPr>
          <w:rFonts w:ascii="Tahoma" w:cs="Tahoma" w:eastAsia="Tahoma" w:hAnsi="Tahoma"/>
          <w:i w:val="1"/>
          <w:iCs w:val="1"/>
          <w:color w:val="000000"/>
          <w:sz w:val="20"/>
          <w:szCs w:val="20"/>
        </w:rPr>
      </w:pPr>
      <w:r w:rsidDel="00000000" w:rsidR="00000000" w:rsidRPr="00000000">
        <w:rPr>
          <w:rFonts w:ascii="Tahoma" w:cs="Tahoma" w:eastAsia="Tahoma" w:hAnsi="Tahoma"/>
          <w:i w:val="1"/>
          <w:iCs w:val="1"/>
          <w:color w:val="000000"/>
          <w:sz w:val="20"/>
          <w:szCs w:val="20"/>
          <w:rtl w:val="0"/>
        </w:rPr>
        <w:t xml:space="preserve">Fuente. AVSA SA, 2026.</w:t>
      </w:r>
    </w:p>
    <w:p w:rsidR="00000000" w:rsidDel="00000000" w:rsidP="00000000" w:rsidRDefault="00000000" w:rsidRPr="00000000" w14:paraId="00000085">
      <w:pPr>
        <w:spacing w:after="200" w:before="0" w:lineRule="auto"/>
        <w:jc w:val="center"/>
        <w:rPr>
          <w:i w:val="1"/>
          <w:iCs w:val="1"/>
          <w:sz w:val="20"/>
          <w:szCs w:val="20"/>
        </w:rPr>
      </w:pPr>
      <w:r w:rsidDel="00000000" w:rsidR="00000000" w:rsidRPr="00000000">
        <w:rPr>
          <w:rtl w:val="0"/>
        </w:rPr>
      </w:r>
    </w:p>
    <w:p w:rsidR="00000000" w:rsidDel="00000000" w:rsidP="00000000" w:rsidRDefault="00000000" w:rsidRPr="00000000" w14:paraId="00000086">
      <w:pPr>
        <w:pStyle w:val="Heading2"/>
        <w:spacing w:after="80" w:before="160" w:lineRule="auto"/>
        <w:rPr/>
      </w:pPr>
      <w:r w:rsidDel="00000000" w:rsidR="00000000" w:rsidRPr="00000000">
        <w:rPr>
          <w:rFonts w:ascii="Tahoma" w:cs="Tahoma" w:eastAsia="Tahoma" w:hAnsi="Tahoma"/>
          <w:b w:val="1"/>
          <w:bCs w:val="1"/>
          <w:color w:val="000000"/>
          <w:sz w:val="26"/>
          <w:szCs w:val="26"/>
          <w:rtl w:val="0"/>
        </w:rPr>
        <w:t xml:space="preserve">1.5 SISTEMA DE TRATAMIENTO, ALMACENAMIENTO Y DISTRIBUCIÓN</w:t>
      </w:r>
      <w:r w:rsidDel="00000000" w:rsidR="00000000" w:rsidRPr="00000000">
        <w:rPr>
          <w:rtl w:val="0"/>
        </w:rPr>
      </w:r>
    </w:p>
    <w:p w:rsidR="00000000" w:rsidDel="00000000" w:rsidP="00000000" w:rsidRDefault="00000000" w:rsidRPr="00000000" w14:paraId="00000087">
      <w:pPr>
        <w:spacing w:after="160" w:line="259" w:lineRule="auto"/>
        <w:jc w:val="both"/>
        <w:rPr/>
      </w:pPr>
      <w:r w:rsidDel="00000000" w:rsidR="00000000" w:rsidRPr="00000000">
        <w:rPr>
          <w:rFonts w:ascii="Tahoma" w:cs="Tahoma" w:eastAsia="Tahoma" w:hAnsi="Tahoma"/>
          <w:color w:val="000000"/>
          <w:sz w:val="22"/>
          <w:szCs w:val="22"/>
          <w:rtl w:val="0"/>
        </w:rPr>
        <w:t xml:space="preserve">El sistema de captación opera mediante pozo profundo de aguas subterráneas, dotado de motobomba sumergible instalada a la profundidad técnica determinada en la perforación. El equipo de bombeo impulsa el agua hacia la red de conducción con un caudal de diseño correspondiente a la demanda total del proyecto. El pozo dispone de rejilla protectora en boca de pozo para prevenir la infiltración de material extraño, e incorpora controles automáticos de nivel que regulan los ciclos de arranque y parada de la bomba. En el punto de captación se encuentra instalado un medidor de caudal que permite el registro continuo del volumen extraído, garantizando el control del recurso concesionado y la generación de los registros requeridos por la autoridad ambiental.</w:t>
      </w:r>
      <w:r w:rsidDel="00000000" w:rsidR="00000000" w:rsidRPr="00000000">
        <w:rPr>
          <w:rtl w:val="0"/>
        </w:rPr>
      </w:r>
    </w:p>
    <w:p w:rsidR="00000000" w:rsidDel="00000000" w:rsidP="00000000" w:rsidRDefault="00000000" w:rsidRPr="00000000" w14:paraId="00000088">
      <w:pPr>
        <w:spacing w:after="160" w:line="259" w:lineRule="auto"/>
        <w:jc w:val="both"/>
        <w:rPr/>
      </w:pPr>
      <w:r w:rsidDel="00000000" w:rsidR="00000000" w:rsidRPr="00000000">
        <w:rPr>
          <w:rFonts w:ascii="Tahoma" w:cs="Tahoma" w:eastAsia="Tahoma" w:hAnsi="Tahoma"/>
          <w:color w:val="000000"/>
          <w:sz w:val="22"/>
          <w:szCs w:val="22"/>
          <w:rtl w:val="0"/>
        </w:rPr>
        <w:t xml:space="preserve">La conducción desde el pozo profundo hasta el sistema de tratamiento y almacenamiento se realiza mediante tubería PVC de cuatro (4) pulgadas de diámetro nominal, según lo verificado en campo. Esta red de conducción principal transporta el agua captada hasta los componentes de potabilización y los tanques de almacenamiento. El trazado de la red sigue el perfil topográfico del predio, garantizando continuidad hidráulica entre el punto de extracción y las unidades de tratamiento. La elección del material PVC para la conducción responde a su resistencia a la corrosión, compatibilidad con agua de consumo y facilidad de mantenimiento en condiciones de operación continua propias de una granja avícola intensiva.</w:t>
      </w:r>
      <w:r w:rsidDel="00000000" w:rsidR="00000000" w:rsidRPr="00000000">
        <w:rPr>
          <w:rtl w:val="0"/>
        </w:rPr>
      </w:r>
    </w:p>
    <w:p w:rsidR="00000000" w:rsidDel="00000000" w:rsidP="00000000" w:rsidRDefault="00000000" w:rsidRPr="00000000" w14:paraId="00000089">
      <w:pPr>
        <w:spacing w:after="160" w:line="259" w:lineRule="auto"/>
        <w:jc w:val="both"/>
        <w:rPr/>
      </w:pPr>
      <w:r w:rsidDel="00000000" w:rsidR="00000000" w:rsidRPr="00000000">
        <w:rPr>
          <w:rFonts w:ascii="Tahoma" w:cs="Tahoma" w:eastAsia="Tahoma" w:hAnsi="Tahoma"/>
          <w:color w:val="000000"/>
          <w:sz w:val="22"/>
          <w:szCs w:val="22"/>
          <w:rtl w:val="0"/>
        </w:rPr>
        <w:t xml:space="preserve">El sistema de tratamiento del agua corresponde a una Planta de Tratamiento de Agua Potable (PTAP), cuya existencia fue verificada en la visita de campo y documentada mediante registro fotográfico. La PTAP ejecuta el acondicionamiento fisicoquímico y desinfección del agua extraída del pozo antes de su ingreso a los tanques de almacenamiento y posterior distribución a los puntos de consumo. El proceso sigue un flujo secuencial que inicia con la recepción del agua cruda, continúa con las etapas de floculación, sedimentación y filtración, y culmina con la desinfección mediante dosificación de cloro, asegurando que el agua suministrada cumpla con los parámetros de calidad requeridos para uso pecuario y consumo humano en las instalaciones del proyecto.</w:t>
      </w:r>
      <w:r w:rsidDel="00000000" w:rsidR="00000000" w:rsidRPr="00000000">
        <w:rPr>
          <w:rtl w:val="0"/>
        </w:rPr>
      </w:r>
    </w:p>
    <w:p w:rsidR="00000000" w:rsidDel="00000000" w:rsidP="00000000" w:rsidRDefault="00000000" w:rsidRPr="00000000" w14:paraId="0000008A">
      <w:pPr>
        <w:spacing w:after="160" w:line="259" w:lineRule="auto"/>
        <w:jc w:val="both"/>
        <w:rPr/>
      </w:pPr>
      <w:r w:rsidDel="00000000" w:rsidR="00000000" w:rsidRPr="00000000">
        <w:rPr>
          <w:rFonts w:ascii="Tahoma" w:cs="Tahoma" w:eastAsia="Tahoma" w:hAnsi="Tahoma"/>
          <w:color w:val="000000"/>
          <w:sz w:val="22"/>
          <w:szCs w:val="22"/>
          <w:rtl w:val="0"/>
        </w:rPr>
        <w:t xml:space="preserve">El sistema de almacenamiento está conformado por tres (3) tanques de agua tratada con capacidad unitaria de cien (100) metros cúbicos cada uno, para una capacidad total instalada de trescientos (300) metros cúbicos. Estos tanques reciben el agua proveniente de la PTAP y constituyen el volumen de reserva operativa que garantiza la continuidad del suministro ante variaciones en la demanda diaria o eventuales interrupciones del sistema de bombeo. La capacidad de almacenamiento instalada, de 300 m³, representa una reserva estratégica que respalda la operación de los núcleos productivos activos. Los tanques se encuentran ubicados en el predio de la granja en posición que permite la distribución por gravedad o impulsión hacia los diferentes puntos de consumo.</w:t>
      </w:r>
      <w:r w:rsidDel="00000000" w:rsidR="00000000" w:rsidRPr="00000000">
        <w:rPr>
          <w:rtl w:val="0"/>
        </w:rPr>
      </w:r>
    </w:p>
    <w:p w:rsidR="00000000" w:rsidDel="00000000" w:rsidP="00000000" w:rsidRDefault="00000000" w:rsidRPr="00000000" w14:paraId="0000008B">
      <w:pPr>
        <w:spacing w:after="160" w:line="259" w:lineRule="auto"/>
        <w:jc w:val="both"/>
        <w:rPr/>
      </w:pPr>
      <w:r w:rsidDel="00000000" w:rsidR="00000000" w:rsidRPr="00000000">
        <w:rPr>
          <w:rFonts w:ascii="Tahoma" w:cs="Tahoma" w:eastAsia="Tahoma" w:hAnsi="Tahoma"/>
          <w:color w:val="000000"/>
          <w:sz w:val="22"/>
          <w:szCs w:val="22"/>
          <w:rtl w:val="0"/>
        </w:rPr>
        <w:t xml:space="preserve">La distribución interna se realiza desde los tanques de almacenamiento hacia los dos núcleos productivos, los puntos de consumo doméstico del personal y las unidades de desinfección vehicular. La red interna de distribución parte de la salida de los tanques y lleva el agua tratada a los galpones de los dos núcleos, a los bebederos de las aves, a las instalaciones sanitarias del personal y a los túneles y arcos de desinfección. Adicionalmente, el reservorio de aguas lluvias, ubicado en las coordenadas (latitud 7,274473, longitud -73,558548), opera como fuente hídrica alterna y cuenta igualmente con medidor de caudal instalado, permitiendo el seguimiento independiente de los volúmenes captados por esta vía.</w:t>
      </w:r>
      <w:r w:rsidDel="00000000" w:rsidR="00000000" w:rsidRPr="00000000">
        <w:rPr>
          <w:rtl w:val="0"/>
        </w:rPr>
      </w:r>
    </w:p>
    <w:p w:rsidR="00000000" w:rsidDel="00000000" w:rsidP="00000000" w:rsidRDefault="00000000" w:rsidRPr="00000000" w14:paraId="0000008C">
      <w:pPr>
        <w:spacing w:after="160" w:line="259" w:lineRule="auto"/>
        <w:jc w:val="both"/>
        <w:rPr/>
      </w:pPr>
      <w:r w:rsidDel="00000000" w:rsidR="00000000" w:rsidRPr="00000000">
        <w:rPr>
          <w:rFonts w:ascii="Tahoma" w:cs="Tahoma" w:eastAsia="Tahoma" w:hAnsi="Tahoma"/>
          <w:color w:val="000000"/>
          <w:sz w:val="22"/>
          <w:szCs w:val="22"/>
          <w:rtl w:val="0"/>
        </w:rPr>
        <w:t xml:space="preserve">COMPONENTES DE LA ESTACIÓN DE BOMBEO</w:t>
      </w:r>
      <w:r w:rsidDel="00000000" w:rsidR="00000000" w:rsidRPr="00000000">
        <w:rPr>
          <w:rtl w:val="0"/>
        </w:rPr>
      </w:r>
    </w:p>
    <w:p w:rsidR="00000000" w:rsidDel="00000000" w:rsidP="00000000" w:rsidRDefault="00000000" w:rsidRPr="00000000" w14:paraId="0000008D">
      <w:pPr>
        <w:spacing w:after="160" w:line="259" w:lineRule="auto"/>
        <w:jc w:val="both"/>
        <w:rPr/>
      </w:pPr>
      <w:r w:rsidDel="00000000" w:rsidR="00000000" w:rsidRPr="00000000">
        <w:rPr>
          <w:rFonts w:ascii="Tahoma" w:cs="Tahoma" w:eastAsia="Tahoma" w:hAnsi="Tahoma"/>
          <w:color w:val="000000"/>
          <w:sz w:val="22"/>
          <w:szCs w:val="22"/>
          <w:rtl w:val="0"/>
        </w:rPr>
        <w:t xml:space="preserve">• Cisterna o cámara de bombeo asociada al pozo profundo</w:t>
      </w:r>
      <w:r w:rsidDel="00000000" w:rsidR="00000000" w:rsidRPr="00000000">
        <w:rPr>
          <w:rtl w:val="0"/>
        </w:rPr>
      </w:r>
    </w:p>
    <w:p w:rsidR="00000000" w:rsidDel="00000000" w:rsidP="00000000" w:rsidRDefault="00000000" w:rsidRPr="00000000" w14:paraId="0000008E">
      <w:pPr>
        <w:spacing w:after="160" w:line="259" w:lineRule="auto"/>
        <w:jc w:val="both"/>
        <w:rPr/>
      </w:pPr>
      <w:r w:rsidDel="00000000" w:rsidR="00000000" w:rsidRPr="00000000">
        <w:rPr>
          <w:rFonts w:ascii="Tahoma" w:cs="Tahoma" w:eastAsia="Tahoma" w:hAnsi="Tahoma"/>
          <w:color w:val="000000"/>
          <w:sz w:val="22"/>
          <w:szCs w:val="22"/>
          <w:rtl w:val="0"/>
        </w:rPr>
        <w:t xml:space="preserve">• Equipo de bombeo sumergible instalado en el pozo</w:t>
      </w:r>
      <w:r w:rsidDel="00000000" w:rsidR="00000000" w:rsidRPr="00000000">
        <w:rPr>
          <w:rtl w:val="0"/>
        </w:rPr>
      </w:r>
    </w:p>
    <w:p w:rsidR="00000000" w:rsidDel="00000000" w:rsidP="00000000" w:rsidRDefault="00000000" w:rsidRPr="00000000" w14:paraId="0000008F">
      <w:pPr>
        <w:spacing w:after="160" w:line="259" w:lineRule="auto"/>
        <w:jc w:val="both"/>
        <w:rPr/>
      </w:pPr>
      <w:r w:rsidDel="00000000" w:rsidR="00000000" w:rsidRPr="00000000">
        <w:rPr>
          <w:rFonts w:ascii="Tahoma" w:cs="Tahoma" w:eastAsia="Tahoma" w:hAnsi="Tahoma"/>
          <w:color w:val="000000"/>
          <w:sz w:val="22"/>
          <w:szCs w:val="22"/>
          <w:rtl w:val="0"/>
        </w:rPr>
        <w:t xml:space="preserve">• Generador eléctrico de respaldo para continuidad operativa</w:t>
      </w:r>
      <w:r w:rsidDel="00000000" w:rsidR="00000000" w:rsidRPr="00000000">
        <w:rPr>
          <w:rtl w:val="0"/>
        </w:rPr>
      </w:r>
    </w:p>
    <w:p w:rsidR="00000000" w:rsidDel="00000000" w:rsidP="00000000" w:rsidRDefault="00000000" w:rsidRPr="00000000" w14:paraId="00000090">
      <w:pPr>
        <w:spacing w:after="160" w:line="259" w:lineRule="auto"/>
        <w:jc w:val="both"/>
        <w:rPr/>
      </w:pPr>
      <w:r w:rsidDel="00000000" w:rsidR="00000000" w:rsidRPr="00000000">
        <w:rPr>
          <w:rFonts w:ascii="Tahoma" w:cs="Tahoma" w:eastAsia="Tahoma" w:hAnsi="Tahoma"/>
          <w:color w:val="000000"/>
          <w:sz w:val="22"/>
          <w:szCs w:val="22"/>
          <w:rtl w:val="0"/>
        </w:rPr>
        <w:t xml:space="preserve">• Tubería de succión e impulsión hacia la red de conducción</w:t>
      </w:r>
      <w:r w:rsidDel="00000000" w:rsidR="00000000" w:rsidRPr="00000000">
        <w:rPr>
          <w:rtl w:val="0"/>
        </w:rPr>
      </w:r>
    </w:p>
    <w:p w:rsidR="00000000" w:rsidDel="00000000" w:rsidP="00000000" w:rsidRDefault="00000000" w:rsidRPr="00000000" w14:paraId="00000091">
      <w:pPr>
        <w:spacing w:after="160" w:line="259" w:lineRule="auto"/>
        <w:jc w:val="both"/>
        <w:rPr/>
      </w:pPr>
      <w:r w:rsidDel="00000000" w:rsidR="00000000" w:rsidRPr="00000000">
        <w:rPr>
          <w:rFonts w:ascii="Tahoma" w:cs="Tahoma" w:eastAsia="Tahoma" w:hAnsi="Tahoma"/>
          <w:color w:val="000000"/>
          <w:sz w:val="22"/>
          <w:szCs w:val="22"/>
          <w:rtl w:val="0"/>
        </w:rPr>
        <w:t xml:space="preserve">• Válvula de pie para retención de columna de agua</w:t>
      </w:r>
      <w:r w:rsidDel="00000000" w:rsidR="00000000" w:rsidRPr="00000000">
        <w:rPr>
          <w:rtl w:val="0"/>
        </w:rPr>
      </w:r>
    </w:p>
    <w:p w:rsidR="00000000" w:rsidDel="00000000" w:rsidP="00000000" w:rsidRDefault="00000000" w:rsidRPr="00000000" w14:paraId="00000092">
      <w:pPr>
        <w:spacing w:after="160" w:line="259" w:lineRule="auto"/>
        <w:jc w:val="both"/>
        <w:rPr/>
      </w:pPr>
      <w:r w:rsidDel="00000000" w:rsidR="00000000" w:rsidRPr="00000000">
        <w:rPr>
          <w:rFonts w:ascii="Tahoma" w:cs="Tahoma" w:eastAsia="Tahoma" w:hAnsi="Tahoma"/>
          <w:color w:val="000000"/>
          <w:sz w:val="22"/>
          <w:szCs w:val="22"/>
          <w:rtl w:val="0"/>
        </w:rPr>
        <w:t xml:space="preserve">• Interruptores de nivel máximo y mínimo para control automático</w:t>
      </w:r>
      <w:r w:rsidDel="00000000" w:rsidR="00000000" w:rsidRPr="00000000">
        <w:rPr>
          <w:rtl w:val="0"/>
        </w:rPr>
      </w:r>
    </w:p>
    <w:p w:rsidR="00000000" w:rsidDel="00000000" w:rsidP="00000000" w:rsidRDefault="00000000" w:rsidRPr="00000000" w14:paraId="00000093">
      <w:pPr>
        <w:spacing w:after="160" w:line="259" w:lineRule="auto"/>
        <w:jc w:val="both"/>
        <w:rPr/>
      </w:pPr>
      <w:r w:rsidDel="00000000" w:rsidR="00000000" w:rsidRPr="00000000">
        <w:rPr>
          <w:rFonts w:ascii="Tahoma" w:cs="Tahoma" w:eastAsia="Tahoma" w:hAnsi="Tahoma"/>
          <w:color w:val="000000"/>
          <w:sz w:val="22"/>
          <w:szCs w:val="22"/>
          <w:rtl w:val="0"/>
        </w:rPr>
        <w:t xml:space="preserve">• Tablero de control con protecciones eléctricas del equipo de bombeo</w:t>
      </w:r>
      <w:r w:rsidDel="00000000" w:rsidR="00000000" w:rsidRPr="00000000">
        <w:rPr>
          <w:rtl w:val="0"/>
        </w:rPr>
      </w:r>
    </w:p>
    <w:p w:rsidR="00000000" w:rsidDel="00000000" w:rsidP="00000000" w:rsidRDefault="00000000" w:rsidRPr="00000000" w14:paraId="00000094">
      <w:pPr>
        <w:spacing w:after="160" w:line="259" w:lineRule="auto"/>
        <w:jc w:val="both"/>
        <w:rPr/>
      </w:pPr>
      <w:r w:rsidDel="00000000" w:rsidR="00000000" w:rsidRPr="00000000">
        <w:rPr>
          <w:rFonts w:ascii="Tahoma" w:cs="Tahoma" w:eastAsia="Tahoma" w:hAnsi="Tahoma"/>
          <w:color w:val="000000"/>
          <w:sz w:val="22"/>
          <w:szCs w:val="22"/>
          <w:rtl w:val="0"/>
        </w:rPr>
        <w:t xml:space="preserve">UNIDADES DE POTABILIZACIÓN DE LA PTAP</w:t>
      </w:r>
      <w:r w:rsidDel="00000000" w:rsidR="00000000" w:rsidRPr="00000000">
        <w:rPr>
          <w:rtl w:val="0"/>
        </w:rPr>
      </w:r>
    </w:p>
    <w:p w:rsidR="00000000" w:rsidDel="00000000" w:rsidP="00000000" w:rsidRDefault="00000000" w:rsidRPr="00000000" w14:paraId="00000095">
      <w:pPr>
        <w:spacing w:after="160" w:line="259" w:lineRule="auto"/>
        <w:jc w:val="both"/>
        <w:rPr/>
      </w:pPr>
      <w:r w:rsidDel="00000000" w:rsidR="00000000" w:rsidRPr="00000000">
        <w:rPr>
          <w:rFonts w:ascii="Tahoma" w:cs="Tahoma" w:eastAsia="Tahoma" w:hAnsi="Tahoma"/>
          <w:color w:val="000000"/>
          <w:sz w:val="22"/>
          <w:szCs w:val="22"/>
          <w:rtl w:val="0"/>
        </w:rPr>
        <w:t xml:space="preserve">• Floculador hidráulico para agregación de partículas en suspensión</w:t>
      </w:r>
      <w:r w:rsidDel="00000000" w:rsidR="00000000" w:rsidRPr="00000000">
        <w:rPr>
          <w:rtl w:val="0"/>
        </w:rPr>
      </w:r>
    </w:p>
    <w:p w:rsidR="00000000" w:rsidDel="00000000" w:rsidP="00000000" w:rsidRDefault="00000000" w:rsidRPr="00000000" w14:paraId="00000096">
      <w:pPr>
        <w:spacing w:after="160" w:line="259" w:lineRule="auto"/>
        <w:jc w:val="both"/>
        <w:rPr/>
      </w:pPr>
      <w:r w:rsidDel="00000000" w:rsidR="00000000" w:rsidRPr="00000000">
        <w:rPr>
          <w:rFonts w:ascii="Tahoma" w:cs="Tahoma" w:eastAsia="Tahoma" w:hAnsi="Tahoma"/>
          <w:color w:val="000000"/>
          <w:sz w:val="22"/>
          <w:szCs w:val="22"/>
          <w:rtl w:val="0"/>
        </w:rPr>
        <w:t xml:space="preserve">• Sedimentador para remoción de sólidos floculados</w:t>
      </w:r>
      <w:r w:rsidDel="00000000" w:rsidR="00000000" w:rsidRPr="00000000">
        <w:rPr>
          <w:rtl w:val="0"/>
        </w:rPr>
      </w:r>
    </w:p>
    <w:p w:rsidR="00000000" w:rsidDel="00000000" w:rsidP="00000000" w:rsidRDefault="00000000" w:rsidRPr="00000000" w14:paraId="00000097">
      <w:pPr>
        <w:spacing w:after="160" w:line="259" w:lineRule="auto"/>
        <w:jc w:val="both"/>
        <w:rPr/>
      </w:pPr>
      <w:r w:rsidDel="00000000" w:rsidR="00000000" w:rsidRPr="00000000">
        <w:rPr>
          <w:rFonts w:ascii="Tahoma" w:cs="Tahoma" w:eastAsia="Tahoma" w:hAnsi="Tahoma"/>
          <w:color w:val="000000"/>
          <w:sz w:val="22"/>
          <w:szCs w:val="22"/>
          <w:rtl w:val="0"/>
        </w:rPr>
        <w:t xml:space="preserve">• Filtros de grava y arena para pulimento del agua sedimentada</w:t>
      </w:r>
      <w:r w:rsidDel="00000000" w:rsidR="00000000" w:rsidRPr="00000000">
        <w:rPr>
          <w:rtl w:val="0"/>
        </w:rPr>
      </w:r>
    </w:p>
    <w:p w:rsidR="00000000" w:rsidDel="00000000" w:rsidP="00000000" w:rsidRDefault="00000000" w:rsidRPr="00000000" w14:paraId="00000098">
      <w:pPr>
        <w:spacing w:after="160" w:line="259" w:lineRule="auto"/>
        <w:jc w:val="both"/>
        <w:rPr/>
      </w:pPr>
      <w:r w:rsidDel="00000000" w:rsidR="00000000" w:rsidRPr="00000000">
        <w:rPr>
          <w:rFonts w:ascii="Tahoma" w:cs="Tahoma" w:eastAsia="Tahoma" w:hAnsi="Tahoma"/>
          <w:color w:val="000000"/>
          <w:sz w:val="22"/>
          <w:szCs w:val="22"/>
          <w:rtl w:val="0"/>
        </w:rPr>
        <w:t xml:space="preserve">• Dosificador de cloro para desinfección del agua filtrada</w:t>
      </w:r>
      <w:r w:rsidDel="00000000" w:rsidR="00000000" w:rsidRPr="00000000">
        <w:rPr>
          <w:rtl w:val="0"/>
        </w:rPr>
      </w:r>
    </w:p>
    <w:p w:rsidR="00000000" w:rsidDel="00000000" w:rsidP="00000000" w:rsidRDefault="00000000" w:rsidRPr="00000000" w14:paraId="00000099">
      <w:pPr>
        <w:spacing w:after="160" w:line="259" w:lineRule="auto"/>
        <w:jc w:val="both"/>
        <w:rPr/>
      </w:pPr>
      <w:r w:rsidDel="00000000" w:rsidR="00000000" w:rsidRPr="00000000">
        <w:rPr>
          <w:rFonts w:ascii="Tahoma" w:cs="Tahoma" w:eastAsia="Tahoma" w:hAnsi="Tahoma"/>
          <w:color w:val="000000"/>
          <w:sz w:val="22"/>
          <w:szCs w:val="22"/>
          <w:rtl w:val="0"/>
        </w:rPr>
        <w:t xml:space="preserve">• Tanque de contacto para asegurar el tiempo de contacto cloro-agua requerido</w:t>
      </w:r>
      <w:r w:rsidDel="00000000" w:rsidR="00000000" w:rsidRPr="00000000">
        <w:rPr>
          <w:rtl w:val="0"/>
        </w:rPr>
      </w:r>
    </w:p>
    <w:p w:rsidR="00000000" w:rsidDel="00000000" w:rsidP="00000000" w:rsidRDefault="00000000" w:rsidRPr="00000000" w14:paraId="0000009A">
      <w:pPr>
        <w:spacing w:after="160" w:line="259" w:lineRule="auto"/>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FLUJO DEL PROCESO DE TRATAMIENTO</w:t>
      </w:r>
    </w:p>
    <w:p w:rsidR="00000000" w:rsidDel="00000000" w:rsidP="00000000" w:rsidRDefault="00000000" w:rsidRPr="00000000" w14:paraId="0000009B">
      <w:pPr>
        <w:spacing w:after="160" w:line="259" w:lineRule="auto"/>
        <w:jc w:val="both"/>
        <w:rPr/>
      </w:pPr>
      <w:r w:rsidDel="00000000" w:rsidR="00000000" w:rsidRPr="00000000">
        <w:rPr>
          <w:rtl w:val="0"/>
        </w:rPr>
      </w:r>
    </w:p>
    <w:p w:rsidR="00000000" w:rsidDel="00000000" w:rsidP="00000000" w:rsidRDefault="00000000" w:rsidRPr="00000000" w14:paraId="0000009C">
      <w:pPr>
        <w:pStyle w:val="Heading2"/>
        <w:spacing w:after="80" w:before="160" w:lineRule="auto"/>
        <w:rPr/>
      </w:pPr>
      <w:r w:rsidDel="00000000" w:rsidR="00000000" w:rsidRPr="00000000">
        <w:rPr>
          <w:rFonts w:ascii="Tahoma" w:cs="Tahoma" w:eastAsia="Tahoma" w:hAnsi="Tahoma"/>
          <w:b w:val="1"/>
          <w:bCs w:val="1"/>
          <w:color w:val="000000"/>
          <w:sz w:val="26"/>
          <w:szCs w:val="26"/>
          <w:rtl w:val="0"/>
        </w:rPr>
        <w:t xml:space="preserve">1.6 COSTOS DEL PROYECTO</w:t>
      </w:r>
      <w:r w:rsidDel="00000000" w:rsidR="00000000" w:rsidRPr="00000000">
        <w:rPr>
          <w:rtl w:val="0"/>
        </w:rPr>
      </w:r>
    </w:p>
    <w:p w:rsidR="00000000" w:rsidDel="00000000" w:rsidP="00000000" w:rsidRDefault="00000000" w:rsidRPr="00000000" w14:paraId="0000009D">
      <w:pPr>
        <w:spacing w:after="160" w:line="259" w:lineRule="auto"/>
        <w:jc w:val="both"/>
        <w:rPr/>
      </w:pPr>
      <w:r w:rsidDel="00000000" w:rsidR="00000000" w:rsidRPr="00000000">
        <w:rPr>
          <w:rFonts w:ascii="Tahoma" w:cs="Tahoma" w:eastAsia="Tahoma" w:hAnsi="Tahoma"/>
          <w:color w:val="000000"/>
          <w:sz w:val="22"/>
          <w:szCs w:val="22"/>
          <w:rtl w:val="0"/>
        </w:rPr>
        <w:t xml:space="preserve">En la siguiente tabla se relacionan los costos de inversión y operación proyectados, para la ejecución y desarrollo del proyecto.</w:t>
      </w:r>
      <w:r w:rsidDel="00000000" w:rsidR="00000000" w:rsidRPr="00000000">
        <w:rPr>
          <w:rtl w:val="0"/>
        </w:rPr>
      </w:r>
    </w:p>
    <w:p w:rsidR="00000000" w:rsidDel="00000000" w:rsidP="00000000" w:rsidRDefault="00000000" w:rsidRPr="00000000" w14:paraId="0000009E">
      <w:pPr>
        <w:spacing w:after="80" w:before="120" w:lineRule="auto"/>
        <w:jc w:val="center"/>
        <w:rPr/>
      </w:pPr>
      <w:r w:rsidDel="00000000" w:rsidR="00000000" w:rsidRPr="00000000">
        <w:rPr>
          <w:rFonts w:ascii="Tahoma" w:cs="Tahoma" w:eastAsia="Tahoma" w:hAnsi="Tahoma"/>
          <w:b w:val="1"/>
          <w:bCs w:val="1"/>
          <w:color w:val="000000"/>
          <w:sz w:val="22"/>
          <w:szCs w:val="22"/>
          <w:rtl w:val="0"/>
        </w:rPr>
        <w:t xml:space="preserve">Tabla 3. Costos del proyecto</w:t>
      </w:r>
      <w:r w:rsidDel="00000000" w:rsidR="00000000" w:rsidRPr="00000000">
        <w:rPr>
          <w:rtl w:val="0"/>
        </w:rPr>
      </w:r>
    </w:p>
    <w:tbl>
      <w:tblPr>
        <w:tblStyle w:val="Table8"/>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552"/>
        <w:gridCol w:w="2808"/>
        <w:tblGridChange w:id="0">
          <w:tblGrid>
            <w:gridCol w:w="6552"/>
            <w:gridCol w:w="2808"/>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9F">
            <w:pPr>
              <w:jc w:val="center"/>
              <w:rPr/>
            </w:pPr>
            <w:r w:rsidDel="00000000" w:rsidR="00000000" w:rsidRPr="00000000">
              <w:rPr>
                <w:rFonts w:ascii="Tahoma" w:cs="Tahoma" w:eastAsia="Tahoma" w:hAnsi="Tahoma"/>
                <w:b w:val="1"/>
                <w:bCs w:val="1"/>
                <w:color w:val="000000"/>
                <w:sz w:val="22"/>
                <w:szCs w:val="22"/>
                <w:rtl w:val="0"/>
              </w:rPr>
              <w:t xml:space="preserve">COSTOS DEL PROYECTO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A0">
            <w:pPr>
              <w:jc w:val="left"/>
              <w:rPr/>
            </w:pP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0A1">
            <w:pPr>
              <w:jc w:val="center"/>
              <w:rPr/>
            </w:pPr>
            <w:r w:rsidDel="00000000" w:rsidR="00000000" w:rsidRPr="00000000">
              <w:rPr>
                <w:rFonts w:ascii="Tahoma" w:cs="Tahoma" w:eastAsia="Tahoma" w:hAnsi="Tahoma"/>
                <w:b w:val="1"/>
                <w:bCs w:val="1"/>
                <w:color w:val="000000"/>
                <w:sz w:val="22"/>
                <w:szCs w:val="22"/>
                <w:rtl w:val="0"/>
              </w:rPr>
              <w:t xml:space="preserve">CONCEPTO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A2">
            <w:pPr>
              <w:jc w:val="center"/>
              <w:rPr/>
            </w:pPr>
            <w:r w:rsidDel="00000000" w:rsidR="00000000" w:rsidRPr="00000000">
              <w:rPr>
                <w:rFonts w:ascii="Tahoma" w:cs="Tahoma" w:eastAsia="Tahoma" w:hAnsi="Tahoma"/>
                <w:b w:val="1"/>
                <w:bCs w:val="1"/>
                <w:color w:val="000000"/>
                <w:sz w:val="22"/>
                <w:szCs w:val="22"/>
                <w:rtl w:val="0"/>
              </w:rPr>
              <w:t xml:space="preserve">COSTOS</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3">
            <w:pPr>
              <w:jc w:val="left"/>
              <w:rPr/>
            </w:pPr>
            <w:r w:rsidDel="00000000" w:rsidR="00000000" w:rsidRPr="00000000">
              <w:rPr>
                <w:rFonts w:ascii="Tahoma" w:cs="Tahoma" w:eastAsia="Tahoma" w:hAnsi="Tahoma"/>
                <w:color w:val="000000"/>
                <w:sz w:val="22"/>
                <w:szCs w:val="22"/>
                <w:rtl w:val="0"/>
              </w:rPr>
              <w:t xml:space="preserve">1. COSTOS DE INVERSIÓN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A4">
            <w:pPr>
              <w:jc w:val="right"/>
              <w:rPr/>
            </w:pP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5">
            <w:pPr>
              <w:jc w:val="left"/>
              <w:rPr/>
            </w:pPr>
            <w:r w:rsidDel="00000000" w:rsidR="00000000" w:rsidRPr="00000000">
              <w:rPr>
                <w:rFonts w:ascii="Tahoma" w:cs="Tahoma" w:eastAsia="Tahoma" w:hAnsi="Tahoma"/>
                <w:color w:val="000000"/>
                <w:sz w:val="22"/>
                <w:szCs w:val="22"/>
                <w:rtl w:val="0"/>
              </w:rPr>
              <w:t xml:space="preserve">1.1 Adquisición de materiales, equipos e insumos requeridos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A6">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7">
            <w:pPr>
              <w:jc w:val="left"/>
              <w:rPr/>
            </w:pPr>
            <w:r w:rsidDel="00000000" w:rsidR="00000000" w:rsidRPr="00000000">
              <w:rPr>
                <w:rFonts w:ascii="Tahoma" w:cs="Tahoma" w:eastAsia="Tahoma" w:hAnsi="Tahoma"/>
                <w:color w:val="000000"/>
                <w:sz w:val="22"/>
                <w:szCs w:val="22"/>
                <w:rtl w:val="0"/>
              </w:rPr>
              <w:t xml:space="preserve">1.2 Montaje de infraestructuras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A8">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9">
            <w:pPr>
              <w:jc w:val="left"/>
              <w:rPr/>
            </w:pPr>
            <w:r w:rsidDel="00000000" w:rsidR="00000000" w:rsidRPr="00000000">
              <w:rPr>
                <w:rFonts w:ascii="Tahoma" w:cs="Tahoma" w:eastAsia="Tahoma" w:hAnsi="Tahoma"/>
                <w:color w:val="000000"/>
                <w:sz w:val="22"/>
                <w:szCs w:val="22"/>
                <w:rtl w:val="0"/>
              </w:rPr>
              <w:t xml:space="preserve">1.3 Mano de obra</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AA">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B">
            <w:pPr>
              <w:jc w:val="left"/>
              <w:rPr/>
            </w:pPr>
            <w:r w:rsidDel="00000000" w:rsidR="00000000" w:rsidRPr="00000000">
              <w:rPr>
                <w:rFonts w:ascii="Tahoma" w:cs="Tahoma" w:eastAsia="Tahoma" w:hAnsi="Tahoma"/>
                <w:color w:val="000000"/>
                <w:sz w:val="22"/>
                <w:szCs w:val="22"/>
                <w:rtl w:val="0"/>
              </w:rPr>
              <w:t xml:space="preserve">1.4 Demás costos de inversión para beneficio económico del propietario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AC">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D">
            <w:pPr>
              <w:jc w:val="left"/>
              <w:rPr/>
            </w:pPr>
            <w:r w:rsidDel="00000000" w:rsidR="00000000" w:rsidRPr="00000000">
              <w:rPr>
                <w:rFonts w:ascii="Tahoma" w:cs="Tahoma" w:eastAsia="Tahoma" w:hAnsi="Tahoma"/>
                <w:color w:val="000000"/>
                <w:sz w:val="22"/>
                <w:szCs w:val="22"/>
                <w:rtl w:val="0"/>
              </w:rPr>
              <w:t xml:space="preserve">TOTAL COSTOS DE INVERSIÓN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AE">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AF">
            <w:pPr>
              <w:jc w:val="left"/>
              <w:rPr/>
            </w:pPr>
            <w:r w:rsidDel="00000000" w:rsidR="00000000" w:rsidRPr="00000000">
              <w:rPr>
                <w:rFonts w:ascii="Tahoma" w:cs="Tahoma" w:eastAsia="Tahoma" w:hAnsi="Tahoma"/>
                <w:color w:val="000000"/>
                <w:sz w:val="22"/>
                <w:szCs w:val="22"/>
                <w:rtl w:val="0"/>
              </w:rPr>
              <w:t xml:space="preserve">2. COSTOS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0">
            <w:pPr>
              <w:jc w:val="right"/>
              <w:rPr/>
            </w:pP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B1">
            <w:pPr>
              <w:jc w:val="left"/>
              <w:rPr/>
            </w:pPr>
            <w:r w:rsidDel="00000000" w:rsidR="00000000" w:rsidRPr="00000000">
              <w:rPr>
                <w:rFonts w:ascii="Tahoma" w:cs="Tahoma" w:eastAsia="Tahoma" w:hAnsi="Tahoma"/>
                <w:color w:val="000000"/>
                <w:sz w:val="22"/>
                <w:szCs w:val="22"/>
                <w:rtl w:val="0"/>
              </w:rPr>
              <w:t xml:space="preserve">2.1 Insumos requeridos para la operación del proyecto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2">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B3">
            <w:pPr>
              <w:jc w:val="left"/>
              <w:rPr/>
            </w:pPr>
            <w:r w:rsidDel="00000000" w:rsidR="00000000" w:rsidRPr="00000000">
              <w:rPr>
                <w:rFonts w:ascii="Tahoma" w:cs="Tahoma" w:eastAsia="Tahoma" w:hAnsi="Tahoma"/>
                <w:color w:val="000000"/>
                <w:sz w:val="22"/>
                <w:szCs w:val="22"/>
                <w:rtl w:val="0"/>
              </w:rPr>
              <w:t xml:space="preserve">2.2 Mano de obra calificada y no calificada (administración, operación y mantenimiento)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4">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B5">
            <w:pPr>
              <w:jc w:val="left"/>
              <w:rPr/>
            </w:pPr>
            <w:r w:rsidDel="00000000" w:rsidR="00000000" w:rsidRPr="00000000">
              <w:rPr>
                <w:rFonts w:ascii="Tahoma" w:cs="Tahoma" w:eastAsia="Tahoma" w:hAnsi="Tahoma"/>
                <w:color w:val="000000"/>
                <w:sz w:val="22"/>
                <w:szCs w:val="22"/>
                <w:rtl w:val="0"/>
              </w:rPr>
              <w:t xml:space="preserve">2.3 Arrendamientos, servicios públicos, seguros y otros</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6">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B7">
            <w:pPr>
              <w:jc w:val="left"/>
              <w:rPr/>
            </w:pPr>
            <w:r w:rsidDel="00000000" w:rsidR="00000000" w:rsidRPr="00000000">
              <w:rPr>
                <w:rFonts w:ascii="Tahoma" w:cs="Tahoma" w:eastAsia="Tahoma" w:hAnsi="Tahoma"/>
                <w:color w:val="000000"/>
                <w:sz w:val="22"/>
                <w:szCs w:val="22"/>
                <w:rtl w:val="0"/>
              </w:rPr>
              <w:t xml:space="preserve">2.4 Demás costos y gastos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8">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B9">
            <w:pPr>
              <w:jc w:val="left"/>
              <w:rPr/>
            </w:pPr>
            <w:r w:rsidDel="00000000" w:rsidR="00000000" w:rsidRPr="00000000">
              <w:rPr>
                <w:rFonts w:ascii="Tahoma" w:cs="Tahoma" w:eastAsia="Tahoma" w:hAnsi="Tahoma"/>
                <w:color w:val="000000"/>
                <w:sz w:val="22"/>
                <w:szCs w:val="22"/>
                <w:rtl w:val="0"/>
              </w:rPr>
              <w:t xml:space="preserve">TOTAL COSTOS DE OPERACIÓN</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A">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r>
        <w:trPr>
          <w:cantSplit w:val="0"/>
          <w:tblHeader w:val="0"/>
        </w:trPr>
        <w:tc>
          <w:tcPr>
            <w:tcMar>
              <w:top w:w="100.0" w:type="dxa"/>
              <w:left w:w="108.0" w:type="dxa"/>
              <w:bottom w:w="100.0" w:type="dxa"/>
              <w:right w:w="108.0" w:type="dxa"/>
            </w:tcMar>
          </w:tcPr>
          <w:p w:rsidR="00000000" w:rsidDel="00000000" w:rsidP="00000000" w:rsidRDefault="00000000" w:rsidRPr="00000000" w14:paraId="000000BB">
            <w:pPr>
              <w:jc w:val="left"/>
              <w:rPr/>
            </w:pPr>
            <w:r w:rsidDel="00000000" w:rsidR="00000000" w:rsidRPr="00000000">
              <w:rPr>
                <w:rFonts w:ascii="Tahoma" w:cs="Tahoma" w:eastAsia="Tahoma" w:hAnsi="Tahoma"/>
                <w:color w:val="000000"/>
                <w:sz w:val="22"/>
                <w:szCs w:val="22"/>
                <w:rtl w:val="0"/>
              </w:rPr>
              <w:t xml:space="preserve">COSTO TOTAL DEL PROYECTO</w:t>
            </w:r>
            <w:r w:rsidDel="00000000" w:rsidR="00000000" w:rsidRPr="00000000">
              <w:rPr>
                <w:rtl w:val="0"/>
              </w:rPr>
            </w:r>
          </w:p>
        </w:tc>
        <w:tc>
          <w:tcPr>
            <w:tcMar>
              <w:top w:w="100.0" w:type="dxa"/>
              <w:left w:w="108.0" w:type="dxa"/>
              <w:bottom w:w="100.0" w:type="dxa"/>
              <w:right w:w="108.0" w:type="dxa"/>
            </w:tcMar>
          </w:tcPr>
          <w:p w:rsidR="00000000" w:rsidDel="00000000" w:rsidP="00000000" w:rsidRDefault="00000000" w:rsidRPr="00000000" w14:paraId="000000BC">
            <w:pPr>
              <w:jc w:val="right"/>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tc>
      </w:tr>
    </w:tbl>
    <w:p w:rsidR="00000000" w:rsidDel="00000000" w:rsidP="00000000" w:rsidRDefault="00000000" w:rsidRPr="00000000" w14:paraId="000000BD">
      <w:pPr>
        <w:spacing w:after="200" w:before="0" w:lineRule="auto"/>
        <w:jc w:val="center"/>
        <w:rPr/>
      </w:pPr>
      <w:r w:rsidDel="00000000" w:rsidR="00000000" w:rsidRPr="00000000">
        <w:rPr>
          <w:rFonts w:ascii="Tahoma" w:cs="Tahoma" w:eastAsia="Tahoma" w:hAnsi="Tahoma"/>
          <w:i w:val="1"/>
          <w:iCs w:val="1"/>
          <w:color w:val="000000"/>
          <w:sz w:val="20"/>
          <w:szCs w:val="20"/>
          <w:rtl w:val="0"/>
        </w:rPr>
        <w:t xml:space="preserve">Fuente. AVSA SA, 2026.</w:t>
      </w:r>
      <w:r w:rsidDel="00000000" w:rsidR="00000000" w:rsidRPr="00000000">
        <w:rPr>
          <w:rtl w:val="0"/>
        </w:rPr>
      </w:r>
    </w:p>
    <w:sectPr>
      <w:headerReference r:id="rId11" w:type="default"/>
      <w:footerReference r:id="rId12"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F">
    <w:pPr>
      <w:jc w:val="center"/>
      <w:rPr/>
    </w:pPr>
    <w:r w:rsidDel="00000000" w:rsidR="00000000" w:rsidRPr="00000000">
      <w:rPr>
        <w:rFonts w:ascii="Tahoma" w:cs="Tahoma" w:eastAsia="Tahoma" w:hAnsi="Tahoma"/>
        <w:color w:val="555555"/>
        <w:sz w:val="18"/>
        <w:szCs w:val="18"/>
        <w:rtl w:val="0"/>
      </w:rPr>
      <w:t xml:space="preserve">Página </w:t>
    </w:r>
    <w:r w:rsidDel="00000000" w:rsidR="00000000" w:rsidRPr="00000000">
      <w:rPr>
        <w:rFonts w:ascii="Tahoma" w:cs="Tahoma" w:eastAsia="Tahoma" w:hAnsi="Tahoma"/>
        <w:color w:val="555555"/>
        <w:sz w:val="18"/>
        <w:szCs w:val="18"/>
      </w:rPr>
      <w:fldChar w:fldCharType="begin"/>
      <w:instrText xml:space="preserve">PAGE</w:instrText>
      <w:fldChar w:fldCharType="separate"/>
      <w:fldChar w:fldCharType="end"/>
    </w:r>
    <w:r w:rsidDel="00000000" w:rsidR="00000000" w:rsidRPr="00000000">
      <w:rPr>
        <w:rFonts w:ascii="Tahoma" w:cs="Tahoma" w:eastAsia="Tahoma" w:hAnsi="Tahoma"/>
        <w:color w:val="555555"/>
        <w:sz w:val="18"/>
        <w:szCs w:val="18"/>
        <w:rtl w:val="0"/>
      </w:rPr>
      <w:t xml:space="preserve"> de </w:t>
    </w:r>
    <w:r w:rsidDel="00000000" w:rsidR="00000000" w:rsidRPr="00000000">
      <w:rPr>
        <w:rFonts w:ascii="Tahoma" w:cs="Tahoma" w:eastAsia="Tahoma" w:hAnsi="Tahoma"/>
        <w:color w:val="555555"/>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E">
    <w:pPr>
      <w:spacing w:after="0" w:lineRule="auto"/>
      <w:jc w:val="right"/>
      <w:rPr/>
    </w:pPr>
    <w:r w:rsidDel="00000000" w:rsidR="00000000" w:rsidRPr="00000000">
      <w:rPr>
        <w:rFonts w:ascii="Tahoma" w:cs="Tahoma" w:eastAsia="Tahoma" w:hAnsi="Tahoma"/>
        <w:b w:val="1"/>
        <w:bCs w:val="1"/>
        <w:color w:val="555555"/>
        <w:sz w:val="18"/>
        <w:szCs w:val="18"/>
        <w:rtl w:val="0"/>
      </w:rPr>
      <w:t xml:space="preserve">SOLICITUD CONCESIÓN DE AGUAS — Granja Avícola Jamaica</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s-CO"/>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after="80" w:before="360" w:lineRule="auto"/>
      <w:jc w:val="left"/>
    </w:pPr>
    <w:rPr>
      <w:b w:val="1"/>
      <w:bCs w:val="1"/>
      <w:smallCaps w:val="1"/>
      <w:sz w:val="28"/>
      <w:szCs w:val="28"/>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0"/>
      <w:iCs w:val="0"/>
      <w:smallCaps w:val="0"/>
      <w:strike w:val="0"/>
      <w:color w:val="000000"/>
      <w:sz w:val="26"/>
      <w:szCs w:val="26"/>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1"/>
      <w:iCs w:val="1"/>
      <w:smallCaps w:val="0"/>
      <w:strike w:val="0"/>
      <w:color w:val="000000"/>
      <w:sz w:val="24"/>
      <w:szCs w:val="24"/>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1"/>
      <w:iCs w:val="1"/>
      <w:smallCaps w:val="0"/>
      <w:strike w:val="0"/>
      <w:color w:val="2e74b5"/>
      <w:sz w:val="22"/>
      <w:szCs w:val="22"/>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2e74b5"/>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1f4d78"/>
      <w:sz w:val="22"/>
      <w:szCs w:val="22"/>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000000"/>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4.jpg"/><Relationship Id="rId12" Type="http://schemas.openxmlformats.org/officeDocument/2006/relationships/footer" Target="footer1.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2.jp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